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A379" w14:textId="77777777" w:rsidR="00644760" w:rsidRDefault="00F945DC">
      <w:pPr>
        <w:pStyle w:val="Heading1"/>
      </w:pPr>
      <w:r>
        <w:t>Local Innovation Partnerships Fund (LIPF)</w:t>
      </w:r>
    </w:p>
    <w:p w14:paraId="0CAF0F49" w14:textId="77777777" w:rsidR="00644760" w:rsidRDefault="00F945DC">
      <w:pPr>
        <w:pStyle w:val="Heading2"/>
      </w:pPr>
      <w:r>
        <w:t>Applicant Briefing: What Projects We Are Looking For</w:t>
      </w:r>
    </w:p>
    <w:p w14:paraId="32EA0B15" w14:textId="77777777" w:rsidR="00644760" w:rsidRDefault="00F945DC">
      <w:pPr>
        <w:pStyle w:val="Heading3"/>
      </w:pPr>
      <w:r>
        <w:t>Purpose of the LIPF</w:t>
      </w:r>
    </w:p>
    <w:p w14:paraId="427F810E" w14:textId="77777777" w:rsidR="00E93FCB" w:rsidRDefault="00E93FCB" w:rsidP="00E93FCB">
      <w:pPr>
        <w:rPr>
          <w:lang w:val="en-GB"/>
        </w:rPr>
      </w:pPr>
      <w:r>
        <w:rPr>
          <w:lang w:val="en-GB"/>
        </w:rPr>
        <w:t>T</w:t>
      </w:r>
      <w:r w:rsidRPr="00E93FCB">
        <w:rPr>
          <w:lang w:val="en-GB"/>
        </w:rPr>
        <w:t xml:space="preserve">he Local Innovation Partnerships Fund (LIPF) has been launched by UKRI to strengthen regional innovation ecosystems, accelerate near-to-market research and development, and support the growth of high-value industrial clusters across the UK. </w:t>
      </w:r>
    </w:p>
    <w:p w14:paraId="6C17F3BE" w14:textId="453FFAA6" w:rsidR="00E93FCB" w:rsidRPr="00E93FCB" w:rsidRDefault="00E93FCB" w:rsidP="00E93FCB">
      <w:pPr>
        <w:rPr>
          <w:lang w:val="en-GB"/>
        </w:rPr>
      </w:pPr>
      <w:r w:rsidRPr="00E93FCB">
        <w:rPr>
          <w:lang w:val="en-GB"/>
        </w:rPr>
        <w:t>South West Wales has been identified in the </w:t>
      </w:r>
      <w:r w:rsidRPr="00E93FCB">
        <w:rPr>
          <w:b/>
          <w:bCs/>
          <w:lang w:val="en-GB"/>
        </w:rPr>
        <w:t>UK Industrial Strategy</w:t>
      </w:r>
      <w:r w:rsidRPr="00E93FCB">
        <w:rPr>
          <w:lang w:val="en-GB"/>
        </w:rPr>
        <w:t>, the </w:t>
      </w:r>
      <w:r w:rsidRPr="00E93FCB">
        <w:rPr>
          <w:b/>
          <w:bCs/>
          <w:lang w:val="en-GB"/>
        </w:rPr>
        <w:t>Regional Economic Delivery Plan (REDP)</w:t>
      </w:r>
      <w:r w:rsidRPr="00E93FCB">
        <w:rPr>
          <w:lang w:val="en-GB"/>
        </w:rPr>
        <w:t> and the </w:t>
      </w:r>
      <w:r w:rsidRPr="00E93FCB">
        <w:rPr>
          <w:b/>
          <w:bCs/>
          <w:lang w:val="en-GB"/>
        </w:rPr>
        <w:t>UK Critical Minerals Strategy</w:t>
      </w:r>
      <w:r w:rsidRPr="00E93FCB">
        <w:rPr>
          <w:lang w:val="en-GB"/>
        </w:rPr>
        <w:t> as a region with nationally significant assets in clean energy, advanced manufacturing, recycling, materials recovery and industrial transition. With major energy and port infrastructure, deep foundation industries, strong university and innovation capabilities, and a growing clean-energy supply chain, the region is well placed to drive UK-wide industrial resilience and low-carbon economic growth.</w:t>
      </w:r>
    </w:p>
    <w:p w14:paraId="0BF61E98" w14:textId="04E08463" w:rsidR="00644760" w:rsidRPr="00E93FCB" w:rsidRDefault="00E93FCB">
      <w:pPr>
        <w:rPr>
          <w:lang w:val="en-GB"/>
        </w:rPr>
      </w:pPr>
      <w:r w:rsidRPr="00E93FCB">
        <w:rPr>
          <w:lang w:val="en-GB"/>
        </w:rPr>
        <w:t>To build on this strategic position, the four local authorities of South West Wales are preparing a regional LIPF bid themed </w:t>
      </w:r>
      <w:r w:rsidRPr="00E93FCB">
        <w:rPr>
          <w:b/>
          <w:bCs/>
          <w:lang w:val="en-GB"/>
        </w:rPr>
        <w:t>Industrial Resilience: Material and Energy Security</w:t>
      </w:r>
      <w:r w:rsidRPr="00E93FCB">
        <w:rPr>
          <w:lang w:val="en-GB"/>
        </w:rPr>
        <w:t>. The bid will assemble a portfolio of high-quality, near-to-market innovation projects that strengthen supply chains, accelerate low-carbon industrial transformation, and increase private sector investment in the region. This Expression of Interest (EOI) process is designed to gather potential anchor projects and wider programme ideas from industry, academia, local authorities and third sector partners. Submissions will help shape the regional portfolio and ensure that proposed activities align with UKRI requirements and regional economic priorities.</w:t>
      </w:r>
      <w:r>
        <w:rPr>
          <w:lang w:val="en-GB"/>
        </w:rPr>
        <w:t xml:space="preserve"> </w:t>
      </w:r>
      <w:r>
        <w:t>Your project proposal will help shape the regional portfolio and identify potential anchor projects.</w:t>
      </w:r>
    </w:p>
    <w:p w14:paraId="7C005A8C" w14:textId="77777777" w:rsidR="00644760" w:rsidRDefault="00F945DC">
      <w:pPr>
        <w:pStyle w:val="Heading3"/>
      </w:pPr>
      <w:r>
        <w:t>1. What a Strong LIPF Project Looks Like</w:t>
      </w:r>
    </w:p>
    <w:p w14:paraId="349EA8F1" w14:textId="77777777" w:rsidR="00644760" w:rsidRPr="00E93FCB" w:rsidRDefault="00F945DC">
      <w:pPr>
        <w:rPr>
          <w:b/>
          <w:bCs/>
        </w:rPr>
      </w:pPr>
      <w:r w:rsidRPr="00E93FCB">
        <w:rPr>
          <w:b/>
          <w:bCs/>
        </w:rPr>
        <w:t>Near-to-Market Innovation:</w:t>
      </w:r>
    </w:p>
    <w:p w14:paraId="45C3F799" w14:textId="244CC488" w:rsidR="00644760" w:rsidRDefault="00F945DC" w:rsidP="00E93FCB">
      <w:pPr>
        <w:pStyle w:val="ListParagraph"/>
        <w:numPr>
          <w:ilvl w:val="0"/>
          <w:numId w:val="12"/>
        </w:numPr>
      </w:pPr>
      <w:r>
        <w:t>Projects must be close to deployment or commercial use, not early-stage research.</w:t>
      </w:r>
    </w:p>
    <w:p w14:paraId="09FE7E74" w14:textId="589D89ED" w:rsidR="00644760" w:rsidRDefault="00F945DC" w:rsidP="00E93FCB">
      <w:pPr>
        <w:pStyle w:val="ListParagraph"/>
        <w:numPr>
          <w:ilvl w:val="0"/>
          <w:numId w:val="12"/>
        </w:numPr>
      </w:pPr>
      <w:r>
        <w:t>Includes new technology, product or process development, pilots, demonstrators and scale-up activity.</w:t>
      </w:r>
    </w:p>
    <w:p w14:paraId="2AF2C378" w14:textId="77777777" w:rsidR="00644760" w:rsidRPr="00E93FCB" w:rsidRDefault="00F945DC">
      <w:pPr>
        <w:rPr>
          <w:b/>
          <w:bCs/>
        </w:rPr>
      </w:pPr>
      <w:r w:rsidRPr="00E93FCB">
        <w:rPr>
          <w:b/>
          <w:bCs/>
        </w:rPr>
        <w:t>Clear Industry Involvement:</w:t>
      </w:r>
    </w:p>
    <w:p w14:paraId="3E418CF7" w14:textId="3C64B24F" w:rsidR="00644760" w:rsidRDefault="00F945DC" w:rsidP="00E93FCB">
      <w:pPr>
        <w:pStyle w:val="ListParagraph"/>
        <w:numPr>
          <w:ilvl w:val="0"/>
          <w:numId w:val="14"/>
        </w:numPr>
      </w:pPr>
      <w:r>
        <w:t>Projects must include strong business engagement, co-investment or co-development.</w:t>
      </w:r>
    </w:p>
    <w:p w14:paraId="23F1ECF3" w14:textId="77777777" w:rsidR="00E93FCB" w:rsidRDefault="00F945DC" w:rsidP="00E93FCB">
      <w:pPr>
        <w:rPr>
          <w:b/>
          <w:bCs/>
        </w:rPr>
      </w:pPr>
      <w:r w:rsidRPr="00E93FCB">
        <w:rPr>
          <w:b/>
          <w:bCs/>
        </w:rPr>
        <w:t>Commercial Potential:</w:t>
      </w:r>
    </w:p>
    <w:p w14:paraId="04E6B90B" w14:textId="15100DE6" w:rsidR="00644760" w:rsidRPr="00E93FCB" w:rsidRDefault="00F945DC" w:rsidP="00E93FCB">
      <w:pPr>
        <w:pStyle w:val="ListParagraph"/>
        <w:numPr>
          <w:ilvl w:val="0"/>
          <w:numId w:val="14"/>
        </w:numPr>
        <w:rPr>
          <w:b/>
          <w:bCs/>
        </w:rPr>
      </w:pPr>
      <w:r>
        <w:t>Clear route to market, adoption pathway and evidence of demand.</w:t>
      </w:r>
    </w:p>
    <w:p w14:paraId="48589D58" w14:textId="77777777" w:rsidR="00644760" w:rsidRPr="00E93FCB" w:rsidRDefault="00F945DC">
      <w:pPr>
        <w:rPr>
          <w:b/>
          <w:bCs/>
        </w:rPr>
      </w:pPr>
      <w:r w:rsidRPr="00E93FCB">
        <w:rPr>
          <w:b/>
          <w:bCs/>
        </w:rPr>
        <w:t>Strengthening the Innovation Ecosystem:</w:t>
      </w:r>
    </w:p>
    <w:p w14:paraId="0A990A7F" w14:textId="6DF9C0C0" w:rsidR="00644760" w:rsidRDefault="00F945DC" w:rsidP="00E93FCB">
      <w:pPr>
        <w:pStyle w:val="ListParagraph"/>
        <w:numPr>
          <w:ilvl w:val="0"/>
          <w:numId w:val="14"/>
        </w:numPr>
      </w:pPr>
      <w:r>
        <w:t>Supports supply chain resilience, SME growth, infrastructure, and cluster development.</w:t>
      </w:r>
    </w:p>
    <w:p w14:paraId="6DD03A89" w14:textId="77777777" w:rsidR="00644760" w:rsidRDefault="00F945DC">
      <w:r w:rsidRPr="00E93FCB">
        <w:rPr>
          <w:b/>
          <w:bCs/>
        </w:rPr>
        <w:t>Regional Economic Impact</w:t>
      </w:r>
      <w:r>
        <w:t>:</w:t>
      </w:r>
    </w:p>
    <w:p w14:paraId="68628B22" w14:textId="016A4F70" w:rsidR="00E93FCB" w:rsidRDefault="00F945DC" w:rsidP="00E93FCB">
      <w:pPr>
        <w:pStyle w:val="ListParagraph"/>
        <w:numPr>
          <w:ilvl w:val="0"/>
          <w:numId w:val="14"/>
        </w:numPr>
      </w:pPr>
      <w:r>
        <w:t>Job creation, productivity gains, emissions reductions, supply chain strengthening.</w:t>
      </w:r>
    </w:p>
    <w:p w14:paraId="6A4558BE" w14:textId="77777777" w:rsidR="00644760" w:rsidRDefault="00644760" w:rsidP="00E93FCB">
      <w:pPr>
        <w:pStyle w:val="ListParagraph"/>
      </w:pPr>
    </w:p>
    <w:p w14:paraId="278090D0" w14:textId="77777777" w:rsidR="00644760" w:rsidRDefault="00F945DC">
      <w:pPr>
        <w:pStyle w:val="Heading3"/>
      </w:pPr>
      <w:r>
        <w:lastRenderedPageBreak/>
        <w:t>2. Types of Activities in Scope</w:t>
      </w:r>
    </w:p>
    <w:tbl>
      <w:tblPr>
        <w:tblW w:w="10274" w:type="dxa"/>
        <w:tblCellMar>
          <w:left w:w="0" w:type="dxa"/>
          <w:right w:w="0" w:type="dxa"/>
        </w:tblCellMar>
        <w:tblLook w:val="0600" w:firstRow="0" w:lastRow="0" w:firstColumn="0" w:lastColumn="0" w:noHBand="1" w:noVBand="1"/>
      </w:tblPr>
      <w:tblGrid>
        <w:gridCol w:w="2478"/>
        <w:gridCol w:w="3260"/>
        <w:gridCol w:w="4536"/>
      </w:tblGrid>
      <w:tr w:rsidR="00E93FCB" w:rsidRPr="00E93FCB" w14:paraId="200C973C" w14:textId="77777777" w:rsidTr="00E93FCB">
        <w:trPr>
          <w:trHeight w:val="593"/>
        </w:trPr>
        <w:tc>
          <w:tcPr>
            <w:tcW w:w="2478" w:type="dxa"/>
            <w:tcBorders>
              <w:top w:val="single" w:sz="8" w:space="0" w:color="000000"/>
              <w:left w:val="single" w:sz="8" w:space="0" w:color="000000"/>
              <w:bottom w:val="single" w:sz="8" w:space="0" w:color="000000"/>
              <w:right w:val="single" w:sz="8" w:space="0" w:color="000000"/>
            </w:tcBorders>
            <w:shd w:val="clear" w:color="auto" w:fill="DCEAF7"/>
            <w:tcMar>
              <w:top w:w="34" w:type="dxa"/>
              <w:left w:w="68" w:type="dxa"/>
              <w:bottom w:w="34" w:type="dxa"/>
              <w:right w:w="68" w:type="dxa"/>
            </w:tcMar>
            <w:vAlign w:val="center"/>
            <w:hideMark/>
          </w:tcPr>
          <w:p w14:paraId="63EFBBAD" w14:textId="77777777" w:rsidR="00E93FCB" w:rsidRPr="00E93FCB" w:rsidRDefault="00E93FCB" w:rsidP="00E93FCB">
            <w:pPr>
              <w:spacing w:before="120" w:after="120"/>
              <w:rPr>
                <w:lang w:val="en-GB"/>
              </w:rPr>
            </w:pPr>
            <w:r w:rsidRPr="00E93FCB">
              <w:rPr>
                <w:b/>
                <w:bCs/>
                <w:lang w:val="en-GB"/>
              </w:rPr>
              <w:t>Category</w:t>
            </w:r>
          </w:p>
        </w:tc>
        <w:tc>
          <w:tcPr>
            <w:tcW w:w="3260" w:type="dxa"/>
            <w:tcBorders>
              <w:top w:val="single" w:sz="8" w:space="0" w:color="000000"/>
              <w:left w:val="single" w:sz="8" w:space="0" w:color="000000"/>
              <w:bottom w:val="single" w:sz="8" w:space="0" w:color="000000"/>
              <w:right w:val="single" w:sz="8" w:space="0" w:color="000000"/>
            </w:tcBorders>
            <w:shd w:val="clear" w:color="auto" w:fill="DCEAF7"/>
            <w:tcMar>
              <w:top w:w="34" w:type="dxa"/>
              <w:left w:w="68" w:type="dxa"/>
              <w:bottom w:w="34" w:type="dxa"/>
              <w:right w:w="68" w:type="dxa"/>
            </w:tcMar>
            <w:vAlign w:val="center"/>
            <w:hideMark/>
          </w:tcPr>
          <w:p w14:paraId="7EFFD5D4" w14:textId="77777777" w:rsidR="00E93FCB" w:rsidRPr="00E93FCB" w:rsidRDefault="00E93FCB" w:rsidP="00E93FCB">
            <w:pPr>
              <w:spacing w:before="120" w:after="120"/>
              <w:rPr>
                <w:lang w:val="en-GB"/>
              </w:rPr>
            </w:pPr>
            <w:r w:rsidRPr="00E93FCB">
              <w:rPr>
                <w:b/>
                <w:bCs/>
                <w:lang w:val="en-GB"/>
              </w:rPr>
              <w:t>Description</w:t>
            </w:r>
          </w:p>
        </w:tc>
        <w:tc>
          <w:tcPr>
            <w:tcW w:w="4536" w:type="dxa"/>
            <w:tcBorders>
              <w:top w:val="single" w:sz="8" w:space="0" w:color="000000"/>
              <w:left w:val="single" w:sz="8" w:space="0" w:color="000000"/>
              <w:bottom w:val="single" w:sz="8" w:space="0" w:color="000000"/>
              <w:right w:val="single" w:sz="8" w:space="0" w:color="000000"/>
            </w:tcBorders>
            <w:shd w:val="clear" w:color="auto" w:fill="DCEAF7"/>
            <w:tcMar>
              <w:top w:w="34" w:type="dxa"/>
              <w:left w:w="68" w:type="dxa"/>
              <w:bottom w:w="34" w:type="dxa"/>
              <w:right w:w="68" w:type="dxa"/>
            </w:tcMar>
            <w:vAlign w:val="center"/>
            <w:hideMark/>
          </w:tcPr>
          <w:p w14:paraId="37BB1B21" w14:textId="77777777" w:rsidR="00E93FCB" w:rsidRPr="00E93FCB" w:rsidRDefault="00E93FCB" w:rsidP="00E93FCB">
            <w:pPr>
              <w:spacing w:before="120" w:after="120"/>
              <w:rPr>
                <w:lang w:val="en-GB"/>
              </w:rPr>
            </w:pPr>
            <w:r w:rsidRPr="00E93FCB">
              <w:rPr>
                <w:b/>
                <w:bCs/>
                <w:lang w:val="en-GB"/>
              </w:rPr>
              <w:t>Examples</w:t>
            </w:r>
          </w:p>
        </w:tc>
      </w:tr>
      <w:tr w:rsidR="00E93FCB" w:rsidRPr="00E93FCB" w14:paraId="4341A010"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E128EE6" w14:textId="77777777" w:rsidR="00E93FCB" w:rsidRPr="00E93FCB" w:rsidRDefault="00E93FCB" w:rsidP="00E93FCB">
            <w:pPr>
              <w:spacing w:before="120" w:after="120"/>
              <w:rPr>
                <w:lang w:val="en-GB"/>
              </w:rPr>
            </w:pPr>
            <w:r w:rsidRPr="00E93FCB">
              <w:rPr>
                <w:b/>
                <w:bCs/>
                <w:lang w:val="en-GB"/>
              </w:rPr>
              <w:t>Research &amp; Technology Commercialisation</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900C693" w14:textId="77777777" w:rsidR="00E93FCB" w:rsidRPr="00E93FCB" w:rsidRDefault="00E93FCB" w:rsidP="00E93FCB">
            <w:pPr>
              <w:spacing w:before="120" w:after="120"/>
              <w:rPr>
                <w:lang w:val="en-GB"/>
              </w:rPr>
            </w:pPr>
            <w:r w:rsidRPr="00E93FCB">
              <w:rPr>
                <w:lang w:val="en-GB"/>
              </w:rPr>
              <w:t>Near-to-market research that drives industry uptake and commercial use.</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3DCED802" w14:textId="77777777" w:rsidR="00E93FCB" w:rsidRPr="00E93FCB" w:rsidRDefault="00E93FCB" w:rsidP="00E93FCB">
            <w:pPr>
              <w:spacing w:before="120" w:after="120"/>
              <w:rPr>
                <w:lang w:val="en-GB"/>
              </w:rPr>
            </w:pPr>
            <w:r w:rsidRPr="00E93FCB">
              <w:rPr>
                <w:lang w:val="en-GB"/>
              </w:rPr>
              <w:t>Technology transfer; product/process development; securing IP (patents, trademarks); industry-led commercialisation.</w:t>
            </w:r>
          </w:p>
        </w:tc>
      </w:tr>
      <w:tr w:rsidR="00E93FCB" w:rsidRPr="00E93FCB" w14:paraId="26E3ED75"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7A66FC3" w14:textId="77777777" w:rsidR="00E93FCB" w:rsidRPr="00E93FCB" w:rsidRDefault="00E93FCB" w:rsidP="00E93FCB">
            <w:pPr>
              <w:spacing w:before="120" w:after="120"/>
              <w:rPr>
                <w:lang w:val="en-GB"/>
              </w:rPr>
            </w:pPr>
            <w:r w:rsidRPr="00E93FCB">
              <w:rPr>
                <w:b/>
                <w:bCs/>
                <w:lang w:val="en-GB"/>
              </w:rPr>
              <w:t>Adoption &amp; Diffusion of New Technologies</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571A5F89" w14:textId="77777777" w:rsidR="00E93FCB" w:rsidRPr="00E93FCB" w:rsidRDefault="00E93FCB" w:rsidP="00E93FCB">
            <w:pPr>
              <w:spacing w:before="120" w:after="120"/>
              <w:rPr>
                <w:lang w:val="en-GB"/>
              </w:rPr>
            </w:pPr>
            <w:r w:rsidRPr="00E93FCB">
              <w:rPr>
                <w:lang w:val="en-GB"/>
              </w:rPr>
              <w:t>Helping businesses adopt cutting-edge or cross-cutting technologies.</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29CFE07D" w14:textId="77777777" w:rsidR="00E93FCB" w:rsidRPr="00E93FCB" w:rsidRDefault="00E93FCB" w:rsidP="00E93FCB">
            <w:pPr>
              <w:spacing w:before="120" w:after="120"/>
              <w:rPr>
                <w:lang w:val="en-GB"/>
              </w:rPr>
            </w:pPr>
            <w:r w:rsidRPr="00E93FCB">
              <w:rPr>
                <w:lang w:val="en-GB"/>
              </w:rPr>
              <w:t>Access to testbeds; digitalisation; automation; collaborative R&amp;D for industrial challenges.</w:t>
            </w:r>
          </w:p>
        </w:tc>
      </w:tr>
      <w:tr w:rsidR="00E93FCB" w:rsidRPr="00E93FCB" w14:paraId="2EC4C993"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1197760" w14:textId="77777777" w:rsidR="00E93FCB" w:rsidRPr="00E93FCB" w:rsidRDefault="00E93FCB" w:rsidP="00E93FCB">
            <w:pPr>
              <w:spacing w:before="120" w:after="120"/>
              <w:rPr>
                <w:lang w:val="en-GB"/>
              </w:rPr>
            </w:pPr>
            <w:r w:rsidRPr="00E93FCB">
              <w:rPr>
                <w:b/>
                <w:bCs/>
                <w:lang w:val="en-GB"/>
              </w:rPr>
              <w:t>Business Growth &amp; Development</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905577F" w14:textId="77777777" w:rsidR="00E93FCB" w:rsidRPr="00E93FCB" w:rsidRDefault="00E93FCB" w:rsidP="00E93FCB">
            <w:pPr>
              <w:spacing w:before="120" w:after="120"/>
              <w:rPr>
                <w:lang w:val="en-GB"/>
              </w:rPr>
            </w:pPr>
            <w:r w:rsidRPr="00E93FCB">
              <w:rPr>
                <w:lang w:val="en-GB"/>
              </w:rPr>
              <w:t>Supporting high-growth firms or spinouts to scale commercially.</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7CFA70C2" w14:textId="77777777" w:rsidR="00E93FCB" w:rsidRPr="00E93FCB" w:rsidRDefault="00E93FCB" w:rsidP="00E93FCB">
            <w:pPr>
              <w:spacing w:before="120" w:after="120"/>
              <w:rPr>
                <w:lang w:val="en-GB"/>
              </w:rPr>
            </w:pPr>
            <w:r w:rsidRPr="00E93FCB">
              <w:rPr>
                <w:lang w:val="en-GB"/>
              </w:rPr>
              <w:t>Investment readiness; private finance support; growth programmes linked to innovation.</w:t>
            </w:r>
          </w:p>
        </w:tc>
      </w:tr>
      <w:tr w:rsidR="00E93FCB" w:rsidRPr="00E93FCB" w14:paraId="5B24F6E7"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E75D30F" w14:textId="77777777" w:rsidR="00E93FCB" w:rsidRPr="00E93FCB" w:rsidRDefault="00E93FCB" w:rsidP="00E93FCB">
            <w:pPr>
              <w:spacing w:before="120" w:after="120"/>
              <w:rPr>
                <w:lang w:val="en-GB"/>
              </w:rPr>
            </w:pPr>
            <w:r w:rsidRPr="00E93FCB">
              <w:rPr>
                <w:b/>
                <w:bCs/>
                <w:lang w:val="en-GB"/>
              </w:rPr>
              <w:t>Translational R&amp;D</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92ECB4E" w14:textId="77777777" w:rsidR="00E93FCB" w:rsidRPr="00E93FCB" w:rsidRDefault="00E93FCB" w:rsidP="00E93FCB">
            <w:pPr>
              <w:spacing w:before="120" w:after="120"/>
              <w:rPr>
                <w:lang w:val="en-GB"/>
              </w:rPr>
            </w:pPr>
            <w:r w:rsidRPr="00E93FCB">
              <w:rPr>
                <w:lang w:val="en-GB"/>
              </w:rPr>
              <w:t>Collaborative R&amp;D with strong industrial outcomes.</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333A358B" w14:textId="77777777" w:rsidR="00E93FCB" w:rsidRPr="00E93FCB" w:rsidRDefault="00E93FCB" w:rsidP="00E93FCB">
            <w:pPr>
              <w:spacing w:before="120" w:after="120"/>
              <w:rPr>
                <w:lang w:val="en-GB"/>
              </w:rPr>
            </w:pPr>
            <w:r w:rsidRPr="00E93FCB">
              <w:rPr>
                <w:lang w:val="en-GB"/>
              </w:rPr>
              <w:t>Partnerships between industry and research organisations; industry-led pilots; demonstrators.</w:t>
            </w:r>
          </w:p>
        </w:tc>
      </w:tr>
      <w:tr w:rsidR="00E93FCB" w:rsidRPr="00E93FCB" w14:paraId="28FC4641"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3420DADA" w14:textId="77777777" w:rsidR="00E93FCB" w:rsidRPr="00E93FCB" w:rsidRDefault="00E93FCB" w:rsidP="00E93FCB">
            <w:pPr>
              <w:spacing w:before="120" w:after="120"/>
              <w:rPr>
                <w:lang w:val="en-GB"/>
              </w:rPr>
            </w:pPr>
            <w:r w:rsidRPr="00E93FCB">
              <w:rPr>
                <w:b/>
                <w:bCs/>
                <w:lang w:val="en-GB"/>
              </w:rPr>
              <w:t>Cluster Development, Networking &amp; Leadership</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6B78BC5A" w14:textId="77777777" w:rsidR="00E93FCB" w:rsidRPr="00E93FCB" w:rsidRDefault="00E93FCB" w:rsidP="00E93FCB">
            <w:pPr>
              <w:spacing w:before="120" w:after="120"/>
              <w:rPr>
                <w:lang w:val="en-GB"/>
              </w:rPr>
            </w:pPr>
            <w:r w:rsidRPr="00E93FCB">
              <w:rPr>
                <w:lang w:val="en-GB"/>
              </w:rPr>
              <w:t>Activity that strengthens local innovation ecosystems and builds shared capability.</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1DEBCC3" w14:textId="77777777" w:rsidR="00E93FCB" w:rsidRPr="00E93FCB" w:rsidRDefault="00E93FCB" w:rsidP="00E93FCB">
            <w:pPr>
              <w:spacing w:before="120" w:after="120"/>
              <w:rPr>
                <w:lang w:val="en-GB"/>
              </w:rPr>
            </w:pPr>
            <w:r w:rsidRPr="00E93FCB">
              <w:rPr>
                <w:lang w:val="en-GB"/>
              </w:rPr>
              <w:t>Collaboration agreements; leadership development; best-practice sharing; investor engagement.</w:t>
            </w:r>
          </w:p>
        </w:tc>
      </w:tr>
      <w:tr w:rsidR="00E93FCB" w:rsidRPr="00E93FCB" w14:paraId="2C663A68"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711FF50A" w14:textId="77777777" w:rsidR="00E93FCB" w:rsidRPr="00E93FCB" w:rsidRDefault="00E93FCB" w:rsidP="00E93FCB">
            <w:pPr>
              <w:spacing w:before="120" w:after="120"/>
              <w:rPr>
                <w:lang w:val="en-GB"/>
              </w:rPr>
            </w:pPr>
            <w:r w:rsidRPr="00E93FCB">
              <w:rPr>
                <w:b/>
                <w:bCs/>
                <w:lang w:val="en-GB"/>
              </w:rPr>
              <w:t>Talent &amp; Skills Development</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72088122" w14:textId="77777777" w:rsidR="00E93FCB" w:rsidRPr="00E93FCB" w:rsidRDefault="00E93FCB" w:rsidP="00E93FCB">
            <w:pPr>
              <w:spacing w:before="120" w:after="120"/>
              <w:rPr>
                <w:lang w:val="en-GB"/>
              </w:rPr>
            </w:pPr>
            <w:r w:rsidRPr="00E93FCB">
              <w:rPr>
                <w:lang w:val="en-GB"/>
              </w:rPr>
              <w:t>Skills linked directly to innovation and industry engagement.</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B4EE2F9" w14:textId="77777777" w:rsidR="00E93FCB" w:rsidRPr="00E93FCB" w:rsidRDefault="00E93FCB" w:rsidP="00E93FCB">
            <w:pPr>
              <w:spacing w:before="120" w:after="120"/>
              <w:rPr>
                <w:lang w:val="en-GB"/>
              </w:rPr>
            </w:pPr>
            <w:r w:rsidRPr="00E93FCB">
              <w:rPr>
                <w:lang w:val="en-GB"/>
              </w:rPr>
              <w:t>Fellowships; Knowledge Transfer Partnerships (KTPs); industry-facing skills programmes.</w:t>
            </w:r>
          </w:p>
        </w:tc>
      </w:tr>
      <w:tr w:rsidR="00E93FCB" w:rsidRPr="00E93FCB" w14:paraId="69DD9809"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68DB7A5A" w14:textId="77777777" w:rsidR="00E93FCB" w:rsidRPr="00E93FCB" w:rsidRDefault="00E93FCB" w:rsidP="00E93FCB">
            <w:pPr>
              <w:spacing w:before="120" w:after="120"/>
              <w:rPr>
                <w:lang w:val="en-GB"/>
              </w:rPr>
            </w:pPr>
            <w:r w:rsidRPr="00E93FCB">
              <w:rPr>
                <w:b/>
                <w:bCs/>
                <w:lang w:val="en-GB"/>
              </w:rPr>
              <w:t>R&amp;D Infrastructure &amp; Equipment</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6F1AEFA" w14:textId="77777777" w:rsidR="00E93FCB" w:rsidRPr="00E93FCB" w:rsidRDefault="00E93FCB" w:rsidP="00E93FCB">
            <w:pPr>
              <w:spacing w:before="120" w:after="120"/>
              <w:rPr>
                <w:lang w:val="en-GB"/>
              </w:rPr>
            </w:pPr>
            <w:r w:rsidRPr="00E93FCB">
              <w:rPr>
                <w:lang w:val="en-GB"/>
              </w:rPr>
              <w:t>Facilities and equipment needed for innovation and scale-up.</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40D29652" w14:textId="77777777" w:rsidR="00E93FCB" w:rsidRPr="00E93FCB" w:rsidRDefault="00E93FCB" w:rsidP="00E93FCB">
            <w:pPr>
              <w:spacing w:before="120" w:after="120"/>
              <w:rPr>
                <w:lang w:val="en-GB"/>
              </w:rPr>
            </w:pPr>
            <w:r w:rsidRPr="00E93FCB">
              <w:rPr>
                <w:lang w:val="en-GB"/>
              </w:rPr>
              <w:t>Lab upgrades; pilot-scale equipment; test facilities. New centres must show long-term sustainability.</w:t>
            </w:r>
          </w:p>
        </w:tc>
      </w:tr>
      <w:tr w:rsidR="00E93FCB" w:rsidRPr="00E93FCB" w14:paraId="06843AC8"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751E7FB6" w14:textId="77777777" w:rsidR="00E93FCB" w:rsidRPr="00E93FCB" w:rsidRDefault="00E93FCB" w:rsidP="00E93FCB">
            <w:pPr>
              <w:spacing w:before="120" w:after="120"/>
              <w:rPr>
                <w:lang w:val="en-GB"/>
              </w:rPr>
            </w:pPr>
            <w:r w:rsidRPr="00E93FCB">
              <w:rPr>
                <w:b/>
                <w:bCs/>
                <w:lang w:val="en-GB"/>
              </w:rPr>
              <w:t>Knowledge Exchange &amp; Networking</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2E165F48" w14:textId="77777777" w:rsidR="00E93FCB" w:rsidRPr="00E93FCB" w:rsidRDefault="00E93FCB" w:rsidP="00E93FCB">
            <w:pPr>
              <w:spacing w:before="120" w:after="120"/>
              <w:rPr>
                <w:lang w:val="en-GB"/>
              </w:rPr>
            </w:pPr>
            <w:r w:rsidRPr="00E93FCB">
              <w:rPr>
                <w:lang w:val="en-GB"/>
              </w:rPr>
              <w:t>Activities that strengthen relationships and collaboration across R&amp;I.</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2B5211DE" w14:textId="77777777" w:rsidR="00E93FCB" w:rsidRPr="00E93FCB" w:rsidRDefault="00E93FCB" w:rsidP="00E93FCB">
            <w:pPr>
              <w:spacing w:before="120" w:after="120"/>
              <w:rPr>
                <w:lang w:val="en-GB"/>
              </w:rPr>
            </w:pPr>
            <w:r w:rsidRPr="00E93FCB">
              <w:rPr>
                <w:lang w:val="en-GB"/>
              </w:rPr>
              <w:t>Networking events; thematic working groups; cross-sector innovation forums.</w:t>
            </w:r>
          </w:p>
        </w:tc>
      </w:tr>
      <w:tr w:rsidR="00E93FCB" w:rsidRPr="00E93FCB" w14:paraId="4CB99F76"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9CFC8ED" w14:textId="77777777" w:rsidR="00E93FCB" w:rsidRPr="00E93FCB" w:rsidRDefault="00E93FCB" w:rsidP="00E93FCB">
            <w:pPr>
              <w:spacing w:before="120" w:after="120"/>
              <w:rPr>
                <w:lang w:val="en-GB"/>
              </w:rPr>
            </w:pPr>
            <w:r w:rsidRPr="00E93FCB">
              <w:rPr>
                <w:b/>
                <w:bCs/>
                <w:lang w:val="en-GB"/>
              </w:rPr>
              <w:t>Seed Corn Funding</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535BDD66" w14:textId="77777777" w:rsidR="00E93FCB" w:rsidRPr="00E93FCB" w:rsidRDefault="00E93FCB" w:rsidP="00E93FCB">
            <w:pPr>
              <w:spacing w:before="120" w:after="120"/>
              <w:rPr>
                <w:lang w:val="en-GB"/>
              </w:rPr>
            </w:pPr>
            <w:r w:rsidRPr="00E93FCB">
              <w:rPr>
                <w:lang w:val="en-GB"/>
              </w:rPr>
              <w:t>Early-stage support to test ideas, build pipelines and reduce risk.</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06497FD4" w14:textId="77777777" w:rsidR="00E93FCB" w:rsidRPr="00E93FCB" w:rsidRDefault="00E93FCB" w:rsidP="00E93FCB">
            <w:pPr>
              <w:spacing w:before="120" w:after="120"/>
              <w:rPr>
                <w:lang w:val="en-GB"/>
              </w:rPr>
            </w:pPr>
            <w:r w:rsidRPr="00E93FCB">
              <w:rPr>
                <w:lang w:val="en-GB"/>
              </w:rPr>
              <w:t>Feasibility studies; short pilots; early cluster development.</w:t>
            </w:r>
          </w:p>
        </w:tc>
      </w:tr>
      <w:tr w:rsidR="00E93FCB" w:rsidRPr="00E93FCB" w14:paraId="4F78891F" w14:textId="77777777" w:rsidTr="00E93FCB">
        <w:trPr>
          <w:trHeight w:val="754"/>
        </w:trPr>
        <w:tc>
          <w:tcPr>
            <w:tcW w:w="2478"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08275B98" w14:textId="77777777" w:rsidR="00E93FCB" w:rsidRPr="00E93FCB" w:rsidRDefault="00E93FCB" w:rsidP="00E93FCB">
            <w:pPr>
              <w:spacing w:before="120" w:after="120"/>
              <w:rPr>
                <w:lang w:val="en-GB"/>
              </w:rPr>
            </w:pPr>
            <w:r w:rsidRPr="00E93FCB">
              <w:rPr>
                <w:b/>
                <w:bCs/>
                <w:lang w:val="en-GB"/>
              </w:rPr>
              <w:t>Accessing / Attracting Overseas Business &amp; Investment</w:t>
            </w:r>
          </w:p>
        </w:tc>
        <w:tc>
          <w:tcPr>
            <w:tcW w:w="3260"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68F19502" w14:textId="77777777" w:rsidR="00E93FCB" w:rsidRPr="00E93FCB" w:rsidRDefault="00E93FCB" w:rsidP="00E93FCB">
            <w:pPr>
              <w:spacing w:before="120" w:after="120"/>
              <w:rPr>
                <w:lang w:val="en-GB"/>
              </w:rPr>
            </w:pPr>
            <w:r w:rsidRPr="00E93FCB">
              <w:rPr>
                <w:lang w:val="en-GB"/>
              </w:rPr>
              <w:t>Projects that bring international investment into the region and anchor activity in the UK.</w:t>
            </w:r>
          </w:p>
        </w:tc>
        <w:tc>
          <w:tcPr>
            <w:tcW w:w="4536" w:type="dxa"/>
            <w:tcBorders>
              <w:top w:val="single" w:sz="8" w:space="0" w:color="000000"/>
              <w:left w:val="single" w:sz="8" w:space="0" w:color="000000"/>
              <w:bottom w:val="single" w:sz="8" w:space="0" w:color="000000"/>
              <w:right w:val="single" w:sz="8" w:space="0" w:color="000000"/>
            </w:tcBorders>
            <w:tcMar>
              <w:top w:w="34" w:type="dxa"/>
              <w:left w:w="68" w:type="dxa"/>
              <w:bottom w:w="34" w:type="dxa"/>
              <w:right w:w="68" w:type="dxa"/>
            </w:tcMar>
            <w:vAlign w:val="center"/>
            <w:hideMark/>
          </w:tcPr>
          <w:p w14:paraId="16EE4FCF" w14:textId="77777777" w:rsidR="00E93FCB" w:rsidRPr="00E93FCB" w:rsidRDefault="00E93FCB" w:rsidP="00E93FCB">
            <w:pPr>
              <w:spacing w:before="120" w:after="120"/>
              <w:rPr>
                <w:lang w:val="en-GB"/>
              </w:rPr>
            </w:pPr>
            <w:r w:rsidRPr="00E93FCB">
              <w:rPr>
                <w:lang w:val="en-GB"/>
              </w:rPr>
              <w:t>Business relocation incentives; overseas R&amp;D collaborations; supply chain partnerships (with clear UK benefits).</w:t>
            </w:r>
          </w:p>
        </w:tc>
      </w:tr>
    </w:tbl>
    <w:p w14:paraId="55B06F45" w14:textId="6CA98D58" w:rsidR="00E93FCB" w:rsidRDefault="00E93FCB">
      <w:pPr>
        <w:rPr>
          <w:caps/>
          <w:color w:val="0A2F40" w:themeColor="accent1" w:themeShade="7F"/>
          <w:spacing w:val="15"/>
          <w:sz w:val="22"/>
          <w:szCs w:val="22"/>
        </w:rPr>
      </w:pPr>
    </w:p>
    <w:p w14:paraId="060F8442" w14:textId="77777777" w:rsidR="00E93FCB" w:rsidRDefault="00E93FCB">
      <w:pPr>
        <w:rPr>
          <w:caps/>
          <w:color w:val="0A2F40" w:themeColor="accent1" w:themeShade="7F"/>
          <w:spacing w:val="15"/>
          <w:sz w:val="22"/>
          <w:szCs w:val="22"/>
        </w:rPr>
      </w:pPr>
    </w:p>
    <w:p w14:paraId="7EF55798" w14:textId="77777777" w:rsidR="00E93FCB" w:rsidRDefault="00E93FCB">
      <w:pPr>
        <w:rPr>
          <w:caps/>
          <w:color w:val="0A2F40" w:themeColor="accent1" w:themeShade="7F"/>
          <w:spacing w:val="15"/>
          <w:sz w:val="22"/>
          <w:szCs w:val="22"/>
        </w:rPr>
      </w:pPr>
    </w:p>
    <w:p w14:paraId="08D99999" w14:textId="7A9232B6" w:rsidR="00644760" w:rsidRDefault="00F945DC">
      <w:pPr>
        <w:pStyle w:val="Heading3"/>
      </w:pPr>
      <w:r>
        <w:t>3. Match Funding Requirements</w:t>
      </w:r>
    </w:p>
    <w:p w14:paraId="1EE6366F" w14:textId="77777777" w:rsidR="00644760" w:rsidRPr="00E93FCB" w:rsidRDefault="00F945DC">
      <w:pPr>
        <w:rPr>
          <w:b/>
          <w:bCs/>
        </w:rPr>
      </w:pPr>
      <w:r w:rsidRPr="00E93FCB">
        <w:rPr>
          <w:b/>
          <w:bCs/>
        </w:rPr>
        <w:lastRenderedPageBreak/>
        <w:t>Minimum Private Match:</w:t>
      </w:r>
    </w:p>
    <w:p w14:paraId="00C30E7B" w14:textId="1C16D721" w:rsidR="00644760" w:rsidRDefault="00F945DC" w:rsidP="00E93FCB">
      <w:pPr>
        <w:pStyle w:val="ListParagraph"/>
        <w:numPr>
          <w:ilvl w:val="1"/>
          <w:numId w:val="16"/>
        </w:numPr>
      </w:pPr>
      <w:r>
        <w:t>1:1 private-to-public match at project outset, increasing towards 3:1.</w:t>
      </w:r>
    </w:p>
    <w:p w14:paraId="1DC292E9" w14:textId="77777777" w:rsidR="00644760" w:rsidRPr="00E93FCB" w:rsidRDefault="00F945DC">
      <w:pPr>
        <w:rPr>
          <w:b/>
          <w:bCs/>
        </w:rPr>
      </w:pPr>
      <w:r w:rsidRPr="00E93FCB">
        <w:rPr>
          <w:b/>
          <w:bCs/>
        </w:rPr>
        <w:t>What Counts:</w:t>
      </w:r>
    </w:p>
    <w:p w14:paraId="4C8ABA41" w14:textId="3CE46FBD" w:rsidR="00644760" w:rsidRDefault="00F945DC" w:rsidP="00E93FCB">
      <w:pPr>
        <w:pStyle w:val="ListParagraph"/>
        <w:numPr>
          <w:ilvl w:val="0"/>
          <w:numId w:val="17"/>
        </w:numPr>
      </w:pPr>
      <w:r>
        <w:t>Non-public cash contributions from industry, private investors and foundations.</w:t>
      </w:r>
    </w:p>
    <w:p w14:paraId="158289C2" w14:textId="77777777" w:rsidR="00644760" w:rsidRPr="00E93FCB" w:rsidRDefault="00F945DC">
      <w:pPr>
        <w:rPr>
          <w:b/>
          <w:bCs/>
        </w:rPr>
      </w:pPr>
      <w:r w:rsidRPr="00E93FCB">
        <w:rPr>
          <w:b/>
          <w:bCs/>
        </w:rPr>
        <w:t>Not Eligible:</w:t>
      </w:r>
    </w:p>
    <w:p w14:paraId="4BEB8D47" w14:textId="7F8F65C2" w:rsidR="00644760" w:rsidRDefault="00F945DC" w:rsidP="00E93FCB">
      <w:pPr>
        <w:pStyle w:val="ListParagraph"/>
        <w:numPr>
          <w:ilvl w:val="0"/>
          <w:numId w:val="18"/>
        </w:numPr>
      </w:pPr>
      <w:r>
        <w:t>In-kind contributions, public funding of any form, or internal university support.</w:t>
      </w:r>
    </w:p>
    <w:tbl>
      <w:tblPr>
        <w:tblW w:w="10171" w:type="dxa"/>
        <w:tblCellMar>
          <w:left w:w="0" w:type="dxa"/>
          <w:right w:w="0" w:type="dxa"/>
        </w:tblCellMar>
        <w:tblLook w:val="0600" w:firstRow="0" w:lastRow="0" w:firstColumn="0" w:lastColumn="0" w:noHBand="1" w:noVBand="1"/>
      </w:tblPr>
      <w:tblGrid>
        <w:gridCol w:w="2233"/>
        <w:gridCol w:w="2268"/>
        <w:gridCol w:w="1701"/>
        <w:gridCol w:w="3969"/>
      </w:tblGrid>
      <w:tr w:rsidR="00E93FCB" w:rsidRPr="00E93FCB" w14:paraId="39E97525" w14:textId="77777777" w:rsidTr="00E93FCB">
        <w:trPr>
          <w:trHeight w:val="113"/>
        </w:trPr>
        <w:tc>
          <w:tcPr>
            <w:tcW w:w="2233" w:type="dxa"/>
            <w:tcBorders>
              <w:top w:val="single" w:sz="8" w:space="0" w:color="000000"/>
              <w:left w:val="single" w:sz="8" w:space="0" w:color="000000"/>
              <w:bottom w:val="single" w:sz="8" w:space="0" w:color="000000"/>
              <w:right w:val="single" w:sz="8" w:space="0" w:color="000000"/>
            </w:tcBorders>
            <w:shd w:val="clear" w:color="auto" w:fill="DCEAF7"/>
            <w:tcMar>
              <w:top w:w="53" w:type="dxa"/>
              <w:left w:w="106" w:type="dxa"/>
              <w:bottom w:w="53" w:type="dxa"/>
              <w:right w:w="106" w:type="dxa"/>
            </w:tcMar>
            <w:vAlign w:val="center"/>
            <w:hideMark/>
          </w:tcPr>
          <w:p w14:paraId="424320F2" w14:textId="77777777" w:rsidR="00E93FCB" w:rsidRPr="00E93FCB" w:rsidRDefault="00E93FCB" w:rsidP="00E93FCB">
            <w:pPr>
              <w:rPr>
                <w:lang w:val="en-GB"/>
              </w:rPr>
            </w:pPr>
            <w:r w:rsidRPr="00E93FCB">
              <w:rPr>
                <w:b/>
                <w:bCs/>
                <w:lang w:val="en-GB"/>
              </w:rPr>
              <w:t>Investment Type</w:t>
            </w:r>
          </w:p>
        </w:tc>
        <w:tc>
          <w:tcPr>
            <w:tcW w:w="2268" w:type="dxa"/>
            <w:tcBorders>
              <w:top w:val="single" w:sz="8" w:space="0" w:color="000000"/>
              <w:left w:val="single" w:sz="8" w:space="0" w:color="000000"/>
              <w:bottom w:val="single" w:sz="8" w:space="0" w:color="000000"/>
              <w:right w:val="single" w:sz="8" w:space="0" w:color="000000"/>
            </w:tcBorders>
            <w:shd w:val="clear" w:color="auto" w:fill="DCEAF7"/>
            <w:tcMar>
              <w:top w:w="53" w:type="dxa"/>
              <w:left w:w="106" w:type="dxa"/>
              <w:bottom w:w="53" w:type="dxa"/>
              <w:right w:w="106" w:type="dxa"/>
            </w:tcMar>
            <w:vAlign w:val="center"/>
            <w:hideMark/>
          </w:tcPr>
          <w:p w14:paraId="2453C27A" w14:textId="77777777" w:rsidR="00E93FCB" w:rsidRPr="00E93FCB" w:rsidRDefault="00E93FCB" w:rsidP="00E93FCB">
            <w:pPr>
              <w:rPr>
                <w:lang w:val="en-GB"/>
              </w:rPr>
            </w:pPr>
            <w:r w:rsidRPr="00E93FCB">
              <w:rPr>
                <w:b/>
                <w:bCs/>
                <w:lang w:val="en-GB"/>
              </w:rPr>
              <w:t>Definition</w:t>
            </w:r>
          </w:p>
        </w:tc>
        <w:tc>
          <w:tcPr>
            <w:tcW w:w="1701" w:type="dxa"/>
            <w:tcBorders>
              <w:top w:val="single" w:sz="8" w:space="0" w:color="000000"/>
              <w:left w:val="single" w:sz="8" w:space="0" w:color="000000"/>
              <w:bottom w:val="single" w:sz="8" w:space="0" w:color="000000"/>
              <w:right w:val="single" w:sz="8" w:space="0" w:color="000000"/>
            </w:tcBorders>
            <w:shd w:val="clear" w:color="auto" w:fill="DCEAF7"/>
            <w:tcMar>
              <w:top w:w="53" w:type="dxa"/>
              <w:left w:w="106" w:type="dxa"/>
              <w:bottom w:w="53" w:type="dxa"/>
              <w:right w:w="106" w:type="dxa"/>
            </w:tcMar>
            <w:vAlign w:val="center"/>
            <w:hideMark/>
          </w:tcPr>
          <w:p w14:paraId="3C587EA3" w14:textId="77777777" w:rsidR="00E93FCB" w:rsidRPr="00E93FCB" w:rsidRDefault="00E93FCB" w:rsidP="00E93FCB">
            <w:pPr>
              <w:rPr>
                <w:lang w:val="en-GB"/>
              </w:rPr>
            </w:pPr>
            <w:r w:rsidRPr="00E93FCB">
              <w:rPr>
                <w:b/>
                <w:bCs/>
                <w:lang w:val="en-GB"/>
              </w:rPr>
              <w:t>Counts Toward Private Match?</w:t>
            </w:r>
          </w:p>
        </w:tc>
        <w:tc>
          <w:tcPr>
            <w:tcW w:w="3969" w:type="dxa"/>
            <w:tcBorders>
              <w:top w:val="single" w:sz="8" w:space="0" w:color="000000"/>
              <w:left w:val="single" w:sz="8" w:space="0" w:color="000000"/>
              <w:bottom w:val="single" w:sz="8" w:space="0" w:color="000000"/>
              <w:right w:val="single" w:sz="8" w:space="0" w:color="000000"/>
            </w:tcBorders>
            <w:shd w:val="clear" w:color="auto" w:fill="DCEAF7"/>
            <w:tcMar>
              <w:top w:w="53" w:type="dxa"/>
              <w:left w:w="106" w:type="dxa"/>
              <w:bottom w:w="53" w:type="dxa"/>
              <w:right w:w="106" w:type="dxa"/>
            </w:tcMar>
            <w:vAlign w:val="center"/>
            <w:hideMark/>
          </w:tcPr>
          <w:p w14:paraId="29FF1586" w14:textId="77777777" w:rsidR="00E93FCB" w:rsidRPr="00E93FCB" w:rsidRDefault="00E93FCB" w:rsidP="00E93FCB">
            <w:pPr>
              <w:rPr>
                <w:lang w:val="en-GB"/>
              </w:rPr>
            </w:pPr>
            <w:r w:rsidRPr="00E93FCB">
              <w:rPr>
                <w:b/>
                <w:bCs/>
                <w:lang w:val="en-GB"/>
              </w:rPr>
              <w:t>Examples / Notes</w:t>
            </w:r>
          </w:p>
        </w:tc>
      </w:tr>
      <w:tr w:rsidR="00E93FCB" w:rsidRPr="00E93FCB" w14:paraId="44C58024" w14:textId="77777777" w:rsidTr="00E93FCB">
        <w:trPr>
          <w:trHeight w:val="113"/>
        </w:trPr>
        <w:tc>
          <w:tcPr>
            <w:tcW w:w="2233"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4C3FE083" w14:textId="77777777" w:rsidR="00E93FCB" w:rsidRPr="00E93FCB" w:rsidRDefault="00E93FCB" w:rsidP="00E93FCB">
            <w:pPr>
              <w:rPr>
                <w:lang w:val="en-GB"/>
              </w:rPr>
            </w:pPr>
            <w:r w:rsidRPr="00E93FCB">
              <w:rPr>
                <w:b/>
                <w:bCs/>
                <w:lang w:val="en-GB"/>
              </w:rPr>
              <w:t>Type 1: Matched / Co-investment</w:t>
            </w:r>
          </w:p>
        </w:tc>
        <w:tc>
          <w:tcPr>
            <w:tcW w:w="2268"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4994D3C9" w14:textId="77777777" w:rsidR="00E93FCB" w:rsidRPr="00E93FCB" w:rsidRDefault="00E93FCB" w:rsidP="00E93FCB">
            <w:pPr>
              <w:rPr>
                <w:lang w:val="en-GB"/>
              </w:rPr>
            </w:pPr>
            <w:r w:rsidRPr="00E93FCB">
              <w:rPr>
                <w:lang w:val="en-GB"/>
              </w:rPr>
              <w:t>Non-public funding directly invested in the LIPF project.</w:t>
            </w:r>
          </w:p>
        </w:tc>
        <w:tc>
          <w:tcPr>
            <w:tcW w:w="1701"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6D8DA9D2" w14:textId="77777777" w:rsidR="00E93FCB" w:rsidRPr="00E93FCB" w:rsidRDefault="00E93FCB" w:rsidP="00E93FCB">
            <w:pPr>
              <w:rPr>
                <w:lang w:val="en-GB"/>
              </w:rPr>
            </w:pPr>
            <w:r w:rsidRPr="00E93FCB">
              <w:rPr>
                <w:b/>
                <w:bCs/>
                <w:lang w:val="en-GB"/>
              </w:rPr>
              <w:t>Yes – only type that counts</w:t>
            </w:r>
          </w:p>
        </w:tc>
        <w:tc>
          <w:tcPr>
            <w:tcW w:w="3969"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6EB8DB64" w14:textId="77777777" w:rsidR="00E93FCB" w:rsidRPr="00E93FCB" w:rsidRDefault="00E93FCB" w:rsidP="00E93FCB">
            <w:pPr>
              <w:rPr>
                <w:lang w:val="en-GB"/>
              </w:rPr>
            </w:pPr>
            <w:r w:rsidRPr="00E93FCB">
              <w:rPr>
                <w:lang w:val="en-GB"/>
              </w:rPr>
              <w:t>Industry cash contributions; private investors; philanthropic/private foundations. In-kind </w:t>
            </w:r>
            <w:r w:rsidRPr="00E93FCB">
              <w:rPr>
                <w:b/>
                <w:bCs/>
                <w:lang w:val="en-GB"/>
              </w:rPr>
              <w:t>not eligible</w:t>
            </w:r>
            <w:r w:rsidRPr="00E93FCB">
              <w:rPr>
                <w:lang w:val="en-GB"/>
              </w:rPr>
              <w:t>. UKRI does </w:t>
            </w:r>
            <w:r w:rsidRPr="00E93FCB">
              <w:rPr>
                <w:b/>
                <w:bCs/>
                <w:lang w:val="en-GB"/>
              </w:rPr>
              <w:t>not</w:t>
            </w:r>
            <w:r w:rsidRPr="00E93FCB">
              <w:rPr>
                <w:lang w:val="en-GB"/>
              </w:rPr>
              <w:t> expect match from research institutions.</w:t>
            </w:r>
          </w:p>
        </w:tc>
      </w:tr>
      <w:tr w:rsidR="00E93FCB" w:rsidRPr="00E93FCB" w14:paraId="0311FF60" w14:textId="77777777" w:rsidTr="00E93FCB">
        <w:trPr>
          <w:trHeight w:val="113"/>
        </w:trPr>
        <w:tc>
          <w:tcPr>
            <w:tcW w:w="2233"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67D1C5CF" w14:textId="77777777" w:rsidR="00E93FCB" w:rsidRPr="00E93FCB" w:rsidRDefault="00E93FCB" w:rsidP="00E93FCB">
            <w:pPr>
              <w:rPr>
                <w:lang w:val="en-GB"/>
              </w:rPr>
            </w:pPr>
            <w:r w:rsidRPr="00E93FCB">
              <w:rPr>
                <w:b/>
                <w:bCs/>
                <w:lang w:val="en-GB"/>
              </w:rPr>
              <w:t>Type 2: Accompanying Investment</w:t>
            </w:r>
          </w:p>
        </w:tc>
        <w:tc>
          <w:tcPr>
            <w:tcW w:w="2268"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759E8324" w14:textId="77777777" w:rsidR="00E93FCB" w:rsidRPr="00E93FCB" w:rsidRDefault="00E93FCB" w:rsidP="00E93FCB">
            <w:pPr>
              <w:rPr>
                <w:lang w:val="en-GB"/>
              </w:rPr>
            </w:pPr>
            <w:r w:rsidRPr="00E93FCB">
              <w:rPr>
                <w:lang w:val="en-GB"/>
              </w:rPr>
              <w:t>Public (non-UKRI) or private funding that supports R&amp;D activity beyond LIPF-eligible costs.</w:t>
            </w:r>
          </w:p>
        </w:tc>
        <w:tc>
          <w:tcPr>
            <w:tcW w:w="1701"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5D1A0053" w14:textId="77777777" w:rsidR="00E93FCB" w:rsidRPr="00E93FCB" w:rsidRDefault="00E93FCB" w:rsidP="00E93FCB">
            <w:pPr>
              <w:rPr>
                <w:lang w:val="en-GB"/>
              </w:rPr>
            </w:pPr>
            <w:r w:rsidRPr="00E93FCB">
              <w:rPr>
                <w:b/>
                <w:bCs/>
                <w:lang w:val="en-GB"/>
              </w:rPr>
              <w:t>No</w:t>
            </w:r>
          </w:p>
        </w:tc>
        <w:tc>
          <w:tcPr>
            <w:tcW w:w="3969"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498B60EB" w14:textId="77777777" w:rsidR="00E93FCB" w:rsidRPr="00E93FCB" w:rsidRDefault="00E93FCB" w:rsidP="00E93FCB">
            <w:pPr>
              <w:rPr>
                <w:lang w:val="en-GB"/>
              </w:rPr>
            </w:pPr>
            <w:r w:rsidRPr="00E93FCB">
              <w:rPr>
                <w:lang w:val="en-GB"/>
              </w:rPr>
              <w:t>Local authority support, additional private funding for equipment, related R&amp;D not included in the grant budget.</w:t>
            </w:r>
          </w:p>
        </w:tc>
      </w:tr>
      <w:tr w:rsidR="00E93FCB" w:rsidRPr="00E93FCB" w14:paraId="3CC04DC0" w14:textId="77777777" w:rsidTr="00E93FCB">
        <w:trPr>
          <w:trHeight w:val="113"/>
        </w:trPr>
        <w:tc>
          <w:tcPr>
            <w:tcW w:w="2233"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647EBDD8" w14:textId="77777777" w:rsidR="00E93FCB" w:rsidRPr="00E93FCB" w:rsidRDefault="00E93FCB" w:rsidP="00E93FCB">
            <w:pPr>
              <w:rPr>
                <w:lang w:val="en-GB"/>
              </w:rPr>
            </w:pPr>
            <w:r w:rsidRPr="00E93FCB">
              <w:rPr>
                <w:b/>
                <w:bCs/>
                <w:lang w:val="en-GB"/>
              </w:rPr>
              <w:t>Type 3: Aligned Investment</w:t>
            </w:r>
          </w:p>
        </w:tc>
        <w:tc>
          <w:tcPr>
            <w:tcW w:w="2268"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6D45FB9C" w14:textId="77777777" w:rsidR="00E93FCB" w:rsidRPr="00E93FCB" w:rsidRDefault="00E93FCB" w:rsidP="00E93FCB">
            <w:pPr>
              <w:rPr>
                <w:lang w:val="en-GB"/>
              </w:rPr>
            </w:pPr>
            <w:r w:rsidRPr="00E93FCB">
              <w:rPr>
                <w:lang w:val="en-GB"/>
              </w:rPr>
              <w:t>Investment in a related thematic area, catalysed by LIPF activity but not directly part of the project.</w:t>
            </w:r>
          </w:p>
        </w:tc>
        <w:tc>
          <w:tcPr>
            <w:tcW w:w="1701"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30D26EFB" w14:textId="77777777" w:rsidR="00E93FCB" w:rsidRPr="00E93FCB" w:rsidRDefault="00E93FCB" w:rsidP="00E93FCB">
            <w:pPr>
              <w:rPr>
                <w:lang w:val="en-GB"/>
              </w:rPr>
            </w:pPr>
            <w:r w:rsidRPr="00E93FCB">
              <w:rPr>
                <w:b/>
                <w:bCs/>
                <w:lang w:val="en-GB"/>
              </w:rPr>
              <w:t>No</w:t>
            </w:r>
          </w:p>
        </w:tc>
        <w:tc>
          <w:tcPr>
            <w:tcW w:w="3969"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13F86ED3" w14:textId="77777777" w:rsidR="00E93FCB" w:rsidRPr="00E93FCB" w:rsidRDefault="00E93FCB" w:rsidP="00E93FCB">
            <w:pPr>
              <w:rPr>
                <w:lang w:val="en-GB"/>
              </w:rPr>
            </w:pPr>
            <w:r w:rsidRPr="00E93FCB">
              <w:rPr>
                <w:lang w:val="en-GB"/>
              </w:rPr>
              <w:t>Company expanding a related technology line; new VC interest triggered by LIPF pilot; follow-on internal R&amp;D.</w:t>
            </w:r>
          </w:p>
        </w:tc>
      </w:tr>
      <w:tr w:rsidR="00E93FCB" w:rsidRPr="00E93FCB" w14:paraId="6DBA9189" w14:textId="77777777" w:rsidTr="00E93FCB">
        <w:trPr>
          <w:trHeight w:val="113"/>
        </w:trPr>
        <w:tc>
          <w:tcPr>
            <w:tcW w:w="2233"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387381F6" w14:textId="77777777" w:rsidR="00E93FCB" w:rsidRPr="00E93FCB" w:rsidRDefault="00E93FCB" w:rsidP="00E93FCB">
            <w:pPr>
              <w:rPr>
                <w:lang w:val="en-GB"/>
              </w:rPr>
            </w:pPr>
            <w:r w:rsidRPr="00E93FCB">
              <w:rPr>
                <w:b/>
                <w:bCs/>
                <w:lang w:val="en-GB"/>
              </w:rPr>
              <w:t>Type 4: Follow-on Investment</w:t>
            </w:r>
          </w:p>
        </w:tc>
        <w:tc>
          <w:tcPr>
            <w:tcW w:w="2268"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424D9195" w14:textId="77777777" w:rsidR="00E93FCB" w:rsidRPr="00E93FCB" w:rsidRDefault="00E93FCB" w:rsidP="00E93FCB">
            <w:pPr>
              <w:rPr>
                <w:lang w:val="en-GB"/>
              </w:rPr>
            </w:pPr>
            <w:r w:rsidRPr="00E93FCB">
              <w:rPr>
                <w:lang w:val="en-GB"/>
              </w:rPr>
              <w:t>Funding required to commercialise or scale LIPF R&amp;D outcomes.</w:t>
            </w:r>
          </w:p>
        </w:tc>
        <w:tc>
          <w:tcPr>
            <w:tcW w:w="1701"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34D6EB74" w14:textId="77777777" w:rsidR="00E93FCB" w:rsidRPr="00E93FCB" w:rsidRDefault="00E93FCB" w:rsidP="00E93FCB">
            <w:pPr>
              <w:rPr>
                <w:lang w:val="en-GB"/>
              </w:rPr>
            </w:pPr>
            <w:r w:rsidRPr="00E93FCB">
              <w:rPr>
                <w:b/>
                <w:bCs/>
                <w:lang w:val="en-GB"/>
              </w:rPr>
              <w:t>No</w:t>
            </w:r>
          </w:p>
        </w:tc>
        <w:tc>
          <w:tcPr>
            <w:tcW w:w="3969" w:type="dxa"/>
            <w:tcBorders>
              <w:top w:val="single" w:sz="8" w:space="0" w:color="000000"/>
              <w:left w:val="single" w:sz="8" w:space="0" w:color="000000"/>
              <w:bottom w:val="single" w:sz="8" w:space="0" w:color="000000"/>
              <w:right w:val="single" w:sz="8" w:space="0" w:color="000000"/>
            </w:tcBorders>
            <w:tcMar>
              <w:top w:w="53" w:type="dxa"/>
              <w:left w:w="106" w:type="dxa"/>
              <w:bottom w:w="53" w:type="dxa"/>
              <w:right w:w="106" w:type="dxa"/>
            </w:tcMar>
            <w:vAlign w:val="center"/>
            <w:hideMark/>
          </w:tcPr>
          <w:p w14:paraId="34139151" w14:textId="77777777" w:rsidR="00E93FCB" w:rsidRPr="00E93FCB" w:rsidRDefault="00E93FCB" w:rsidP="00E93FCB">
            <w:pPr>
              <w:rPr>
                <w:lang w:val="en-GB"/>
              </w:rPr>
            </w:pPr>
            <w:r w:rsidRPr="00E93FCB">
              <w:rPr>
                <w:lang w:val="en-GB"/>
              </w:rPr>
              <w:t>Prototype scale-up, commercial trials, integrating IP with other technologies, market launch financing.</w:t>
            </w:r>
          </w:p>
        </w:tc>
      </w:tr>
    </w:tbl>
    <w:p w14:paraId="23A1C85B" w14:textId="6A1C20A5" w:rsidR="00E93FCB" w:rsidRDefault="00E93FCB" w:rsidP="00E93FCB"/>
    <w:p w14:paraId="541D4F21" w14:textId="77777777" w:rsidR="00E93FCB" w:rsidRDefault="00E93FCB">
      <w:r>
        <w:br w:type="page"/>
      </w:r>
    </w:p>
    <w:p w14:paraId="2697ABCF" w14:textId="77777777" w:rsidR="00644760" w:rsidRDefault="00F945DC">
      <w:pPr>
        <w:pStyle w:val="Heading3"/>
      </w:pPr>
      <w:r>
        <w:lastRenderedPageBreak/>
        <w:t>4. Essential Requirements</w:t>
      </w:r>
    </w:p>
    <w:p w14:paraId="23A6D940" w14:textId="6E19002B" w:rsidR="00644760" w:rsidRDefault="00F945DC" w:rsidP="00E93FCB">
      <w:pPr>
        <w:pStyle w:val="ListParagraph"/>
        <w:numPr>
          <w:ilvl w:val="0"/>
          <w:numId w:val="19"/>
        </w:numPr>
      </w:pPr>
      <w:r>
        <w:t>Deliverable within five years.</w:t>
      </w:r>
    </w:p>
    <w:p w14:paraId="52E936CE" w14:textId="0D840030" w:rsidR="00644760" w:rsidRDefault="00F945DC" w:rsidP="00E93FCB">
      <w:pPr>
        <w:pStyle w:val="ListParagraph"/>
        <w:numPr>
          <w:ilvl w:val="0"/>
          <w:numId w:val="19"/>
        </w:numPr>
      </w:pPr>
      <w:r>
        <w:t>Focused on near-to-market innovation.</w:t>
      </w:r>
    </w:p>
    <w:p w14:paraId="57E84C69" w14:textId="682FF6B1" w:rsidR="00644760" w:rsidRDefault="00F945DC" w:rsidP="00E93FCB">
      <w:pPr>
        <w:pStyle w:val="ListParagraph"/>
        <w:numPr>
          <w:ilvl w:val="0"/>
          <w:numId w:val="19"/>
        </w:numPr>
      </w:pPr>
      <w:r>
        <w:t>Includes industry partnership and private match funding.</w:t>
      </w:r>
    </w:p>
    <w:p w14:paraId="05C82E3E" w14:textId="67968518" w:rsidR="00644760" w:rsidRDefault="00F945DC" w:rsidP="00E93FCB">
      <w:pPr>
        <w:pStyle w:val="ListParagraph"/>
        <w:numPr>
          <w:ilvl w:val="0"/>
          <w:numId w:val="19"/>
        </w:numPr>
      </w:pPr>
      <w:r>
        <w:t>Aligns with regional strengths.</w:t>
      </w:r>
    </w:p>
    <w:p w14:paraId="6BA2A8AF" w14:textId="178F3402" w:rsidR="00644760" w:rsidRDefault="00F945DC" w:rsidP="00E93FCB">
      <w:pPr>
        <w:pStyle w:val="ListParagraph"/>
        <w:numPr>
          <w:ilvl w:val="0"/>
          <w:numId w:val="19"/>
        </w:numPr>
      </w:pPr>
      <w:r>
        <w:t>Demonstrates strong economic, social or environmental impact.</w:t>
      </w:r>
    </w:p>
    <w:p w14:paraId="3499D700" w14:textId="5321AF01" w:rsidR="00E93FCB" w:rsidRDefault="00E93FCB" w:rsidP="00E93FCB">
      <w:pPr>
        <w:pStyle w:val="Heading3"/>
      </w:pPr>
      <w:r>
        <w:t>5. Guidance</w:t>
      </w:r>
    </w:p>
    <w:p w14:paraId="48C0FAA5" w14:textId="37C4F4AD" w:rsidR="00E93FCB" w:rsidRPr="00E93FCB" w:rsidRDefault="00E93FCB" w:rsidP="00E93FCB">
      <w:r w:rsidRPr="00E93FCB">
        <w:rPr>
          <w:noProof/>
        </w:rPr>
        <w:drawing>
          <wp:anchor distT="0" distB="0" distL="114300" distR="114300" simplePos="0" relativeHeight="251656192" behindDoc="0" locked="0" layoutInCell="1" allowOverlap="1" wp14:anchorId="07D4B000" wp14:editId="2698D24F">
            <wp:simplePos x="0" y="0"/>
            <wp:positionH relativeFrom="column">
              <wp:posOffset>-29882</wp:posOffset>
            </wp:positionH>
            <wp:positionV relativeFrom="paragraph">
              <wp:posOffset>140596</wp:posOffset>
            </wp:positionV>
            <wp:extent cx="6400800" cy="1703070"/>
            <wp:effectExtent l="0" t="0" r="0" b="0"/>
            <wp:wrapNone/>
            <wp:docPr id="4" name="table">
              <a:extLst xmlns:a="http://schemas.openxmlformats.org/drawingml/2006/main">
                <a:ext uri="{FF2B5EF4-FFF2-40B4-BE49-F238E27FC236}">
                  <a16:creationId xmlns:a16="http://schemas.microsoft.com/office/drawing/2014/main" id="{25EC40B3-53B5-B2F9-BF0B-3F59029778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25EC40B3-53B5-B2F9-BF0B-3F59029778B5}"/>
                        </a:ext>
                      </a:extLst>
                    </pic:cNvPr>
                    <pic:cNvPicPr>
                      <a:picLocks noChangeAspect="1"/>
                    </pic:cNvPicPr>
                  </pic:nvPicPr>
                  <pic:blipFill>
                    <a:blip r:embed="rId11"/>
                    <a:stretch>
                      <a:fillRect/>
                    </a:stretch>
                  </pic:blipFill>
                  <pic:spPr>
                    <a:xfrm>
                      <a:off x="0" y="0"/>
                      <a:ext cx="6400800" cy="1703070"/>
                    </a:xfrm>
                    <a:prstGeom prst="rect">
                      <a:avLst/>
                    </a:prstGeom>
                  </pic:spPr>
                </pic:pic>
              </a:graphicData>
            </a:graphic>
          </wp:anchor>
        </w:drawing>
      </w:r>
    </w:p>
    <w:p w14:paraId="61295C66" w14:textId="16C34D16" w:rsidR="00E93FCB" w:rsidRDefault="00E93FCB" w:rsidP="00E93FCB"/>
    <w:p w14:paraId="1CC3C039" w14:textId="576ED6C9" w:rsidR="00E93FCB" w:rsidRDefault="00E93FCB" w:rsidP="00E93FCB"/>
    <w:p w14:paraId="731526E2" w14:textId="4E76481F" w:rsidR="00E93FCB" w:rsidRDefault="00E93FCB" w:rsidP="00E93FCB"/>
    <w:p w14:paraId="56A9CC1A" w14:textId="77777777" w:rsidR="00E93FCB" w:rsidRDefault="00E93FCB" w:rsidP="00E93FCB"/>
    <w:p w14:paraId="09C7566D" w14:textId="209EBC84" w:rsidR="00E93FCB" w:rsidRDefault="00E93FCB" w:rsidP="00E93FCB">
      <w:r w:rsidRPr="00E93FCB">
        <w:rPr>
          <w:noProof/>
        </w:rPr>
        <w:drawing>
          <wp:anchor distT="0" distB="0" distL="114300" distR="114300" simplePos="0" relativeHeight="251663360" behindDoc="0" locked="0" layoutInCell="1" allowOverlap="1" wp14:anchorId="4BC981AD" wp14:editId="70ABA89C">
            <wp:simplePos x="0" y="0"/>
            <wp:positionH relativeFrom="column">
              <wp:posOffset>-29882</wp:posOffset>
            </wp:positionH>
            <wp:positionV relativeFrom="paragraph">
              <wp:posOffset>300953</wp:posOffset>
            </wp:positionV>
            <wp:extent cx="6400800" cy="1854200"/>
            <wp:effectExtent l="0" t="0" r="0" b="0"/>
            <wp:wrapNone/>
            <wp:docPr id="5" name="table">
              <a:extLst xmlns:a="http://schemas.openxmlformats.org/drawingml/2006/main">
                <a:ext uri="{FF2B5EF4-FFF2-40B4-BE49-F238E27FC236}">
                  <a16:creationId xmlns:a16="http://schemas.microsoft.com/office/drawing/2014/main" id="{40598E9B-2735-D280-DE89-9DBC7997E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a:extLst>
                        <a:ext uri="{FF2B5EF4-FFF2-40B4-BE49-F238E27FC236}">
                          <a16:creationId xmlns:a16="http://schemas.microsoft.com/office/drawing/2014/main" id="{40598E9B-2735-D280-DE89-9DBC7997E192}"/>
                        </a:ext>
                      </a:extLst>
                    </pic:cNvPr>
                    <pic:cNvPicPr>
                      <a:picLocks noChangeAspect="1"/>
                    </pic:cNvPicPr>
                  </pic:nvPicPr>
                  <pic:blipFill>
                    <a:blip r:embed="rId12"/>
                    <a:stretch>
                      <a:fillRect/>
                    </a:stretch>
                  </pic:blipFill>
                  <pic:spPr>
                    <a:xfrm>
                      <a:off x="0" y="0"/>
                      <a:ext cx="6400800" cy="1854200"/>
                    </a:xfrm>
                    <a:prstGeom prst="rect">
                      <a:avLst/>
                    </a:prstGeom>
                  </pic:spPr>
                </pic:pic>
              </a:graphicData>
            </a:graphic>
          </wp:anchor>
        </w:drawing>
      </w:r>
    </w:p>
    <w:p w14:paraId="44856600" w14:textId="4F08D34B" w:rsidR="00E93FCB" w:rsidRDefault="00E93FCB" w:rsidP="00E93FCB"/>
    <w:p w14:paraId="37F9AD39" w14:textId="72BD5B60" w:rsidR="00E93FCB" w:rsidRDefault="00E93FCB" w:rsidP="00E93FCB"/>
    <w:p w14:paraId="756D8479" w14:textId="2AB03676" w:rsidR="00E93FCB" w:rsidRDefault="00E93FCB" w:rsidP="00E93FCB"/>
    <w:p w14:paraId="1DC52146" w14:textId="510A37B6" w:rsidR="00E93FCB" w:rsidRDefault="00E93FCB" w:rsidP="00E93FCB"/>
    <w:p w14:paraId="14E85BBC" w14:textId="4CDC8831" w:rsidR="00E93FCB" w:rsidRDefault="00E93FCB" w:rsidP="00E93FCB"/>
    <w:p w14:paraId="1F3A4179" w14:textId="77777777" w:rsidR="00E93FCB" w:rsidRDefault="00E93FCB" w:rsidP="00E93FCB"/>
    <w:p w14:paraId="2BA4CC54" w14:textId="77777777" w:rsidR="00E93FCB" w:rsidRDefault="00E93FCB" w:rsidP="00E93FCB"/>
    <w:p w14:paraId="02C74B95" w14:textId="04B2C662" w:rsidR="00E93FCB" w:rsidRPr="00E93FCB" w:rsidRDefault="00E93FCB" w:rsidP="00E93FCB">
      <w:pPr>
        <w:pStyle w:val="Heading3"/>
        <w:rPr>
          <w:lang w:val="en-GB"/>
        </w:rPr>
      </w:pPr>
      <w:r w:rsidRPr="00E93FCB">
        <w:rPr>
          <w:lang w:val="en-GB"/>
        </w:rPr>
        <w:t>Website References</w:t>
      </w:r>
    </w:p>
    <w:p w14:paraId="6E2B2C37" w14:textId="777E93A5" w:rsidR="00E93FCB" w:rsidRPr="00E93FCB" w:rsidRDefault="00E93FCB" w:rsidP="00E93FCB">
      <w:pPr>
        <w:rPr>
          <w:b/>
          <w:bCs/>
          <w:lang w:val="en-GB"/>
        </w:rPr>
      </w:pPr>
      <w:r w:rsidRPr="00E93FCB">
        <w:rPr>
          <w:b/>
          <w:bCs/>
          <w:lang w:val="en-GB"/>
        </w:rPr>
        <w:t>1. UK Industrial Strategy (2025)</w:t>
      </w:r>
      <w:r>
        <w:rPr>
          <w:b/>
          <w:bCs/>
          <w:lang w:val="en-GB"/>
        </w:rPr>
        <w:t xml:space="preserve"> - </w:t>
      </w:r>
      <w:r w:rsidRPr="00E93FCB">
        <w:rPr>
          <w:i/>
          <w:iCs/>
          <w:lang w:val="en-GB"/>
        </w:rPr>
        <w:t>The UK’s Modern Industrial Strategy</w:t>
      </w:r>
      <w:r w:rsidRPr="00E93FCB">
        <w:rPr>
          <w:lang w:val="en-GB"/>
        </w:rPr>
        <w:br/>
      </w:r>
      <w:hyperlink r:id="rId13" w:history="1">
        <w:r w:rsidRPr="00E93FCB">
          <w:rPr>
            <w:rStyle w:val="Hyperlink"/>
            <w:lang w:val="en-GB"/>
          </w:rPr>
          <w:t>https://www.gov.uk/government/collections/the-uks-modern-industrial-strategy-2025</w:t>
        </w:r>
      </w:hyperlink>
    </w:p>
    <w:p w14:paraId="284E8D85" w14:textId="08D4FE02" w:rsidR="00E93FCB" w:rsidRPr="00E93FCB" w:rsidRDefault="00E93FCB" w:rsidP="00E93FCB">
      <w:pPr>
        <w:rPr>
          <w:b/>
          <w:bCs/>
          <w:lang w:val="en-GB"/>
        </w:rPr>
      </w:pPr>
      <w:r w:rsidRPr="00E93FCB">
        <w:rPr>
          <w:b/>
          <w:bCs/>
          <w:lang w:val="en-GB"/>
        </w:rPr>
        <w:t>2. South West Wales Regional Economic Delivery Plan (REDP)</w:t>
      </w:r>
      <w:r>
        <w:rPr>
          <w:b/>
          <w:bCs/>
          <w:lang w:val="en-GB"/>
        </w:rPr>
        <w:t xml:space="preserve"> </w:t>
      </w:r>
      <w:r>
        <w:rPr>
          <w:lang w:val="en-GB"/>
        </w:rPr>
        <w:t xml:space="preserve"> </w:t>
      </w:r>
      <w:hyperlink r:id="rId14" w:tgtFrame="_new" w:history="1">
        <w:r w:rsidRPr="00E93FCB">
          <w:rPr>
            <w:rStyle w:val="Hyperlink"/>
            <w:lang w:val="en-GB"/>
          </w:rPr>
          <w:t>https://democracy.npt.gov.uk/documents/s77664/REDP%20Appendix%20A%20Regional%20Economic%20Delivery%20Plan%20Final.pdf</w:t>
        </w:r>
      </w:hyperlink>
    </w:p>
    <w:p w14:paraId="49E73CDA" w14:textId="77777777" w:rsidR="00E93FCB" w:rsidRDefault="00E93FCB" w:rsidP="00E93FCB">
      <w:pPr>
        <w:rPr>
          <w:b/>
          <w:bCs/>
          <w:lang w:val="en-GB"/>
        </w:rPr>
      </w:pPr>
      <w:r w:rsidRPr="00E93FCB">
        <w:rPr>
          <w:b/>
          <w:bCs/>
          <w:lang w:val="en-GB"/>
        </w:rPr>
        <w:t>3. UK Critical Minerals Strategy</w:t>
      </w:r>
    </w:p>
    <w:p w14:paraId="7EE7A29B" w14:textId="3CB0ED58" w:rsidR="00E93FCB" w:rsidRPr="00E93FCB" w:rsidRDefault="00E93FCB" w:rsidP="00E93FCB">
      <w:pPr>
        <w:rPr>
          <w:b/>
          <w:bCs/>
          <w:lang w:val="en-GB"/>
        </w:rPr>
      </w:pPr>
      <w:hyperlink r:id="rId15" w:history="1">
        <w:r w:rsidRPr="00E93FCB">
          <w:rPr>
            <w:rStyle w:val="Hyperlink"/>
            <w:lang w:val="en-GB"/>
          </w:rPr>
          <w:t>https://www.gov.uk/government/publications/uk-critical-minerals-strategy</w:t>
        </w:r>
      </w:hyperlink>
    </w:p>
    <w:p w14:paraId="382C5F4A" w14:textId="77777777" w:rsidR="00E93FCB" w:rsidRDefault="00E93FCB" w:rsidP="00E93FCB"/>
    <w:sectPr w:rsidR="00E93FCB" w:rsidSect="00E93FCB">
      <w:headerReference w:type="default" r:id="rId16"/>
      <w:footerReference w:type="even" r:id="rId17"/>
      <w:footerReference w:type="default" r:id="rId18"/>
      <w:pgSz w:w="12240" w:h="15840"/>
      <w:pgMar w:top="111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9092" w14:textId="77777777" w:rsidR="00F945DC" w:rsidRDefault="00F945DC" w:rsidP="00E93FCB">
      <w:pPr>
        <w:spacing w:before="0" w:after="0" w:line="240" w:lineRule="auto"/>
      </w:pPr>
      <w:r>
        <w:separator/>
      </w:r>
    </w:p>
  </w:endnote>
  <w:endnote w:type="continuationSeparator" w:id="0">
    <w:p w14:paraId="55DDF256" w14:textId="77777777" w:rsidR="00F945DC" w:rsidRDefault="00F945DC" w:rsidP="00E93F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185329"/>
      <w:docPartObj>
        <w:docPartGallery w:val="Page Numbers (Bottom of Page)"/>
        <w:docPartUnique/>
      </w:docPartObj>
    </w:sdtPr>
    <w:sdtEndPr>
      <w:rPr>
        <w:rStyle w:val="PageNumber"/>
      </w:rPr>
    </w:sdtEndPr>
    <w:sdtContent>
      <w:p w14:paraId="07AC819D" w14:textId="7AB315D1" w:rsidR="00E93FCB" w:rsidRDefault="00E93FCB" w:rsidP="005572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9816BA" w14:textId="77777777" w:rsidR="00E93FCB" w:rsidRDefault="00E93FCB" w:rsidP="00E93F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4708096"/>
      <w:docPartObj>
        <w:docPartGallery w:val="Page Numbers (Bottom of Page)"/>
        <w:docPartUnique/>
      </w:docPartObj>
    </w:sdtPr>
    <w:sdtEndPr>
      <w:rPr>
        <w:rStyle w:val="PageNumber"/>
      </w:rPr>
    </w:sdtEndPr>
    <w:sdtContent>
      <w:p w14:paraId="512AC8CE" w14:textId="30D52C38" w:rsidR="00E93FCB" w:rsidRDefault="00E93FCB" w:rsidP="005572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A30CB1" w14:textId="77777777" w:rsidR="00E93FCB" w:rsidRDefault="00E93FCB" w:rsidP="00E93F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2885" w14:textId="77777777" w:rsidR="00F945DC" w:rsidRDefault="00F945DC" w:rsidP="00E93FCB">
      <w:pPr>
        <w:spacing w:before="0" w:after="0" w:line="240" w:lineRule="auto"/>
      </w:pPr>
      <w:r>
        <w:separator/>
      </w:r>
    </w:p>
  </w:footnote>
  <w:footnote w:type="continuationSeparator" w:id="0">
    <w:p w14:paraId="6B6547D5" w14:textId="77777777" w:rsidR="00F945DC" w:rsidRDefault="00F945DC" w:rsidP="00E93F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6D23" w14:textId="24D426FA" w:rsidR="00E93FCB" w:rsidRPr="00E93FCB" w:rsidRDefault="00E93FCB" w:rsidP="00E93FCB">
    <w:pPr>
      <w:pStyle w:val="Header"/>
      <w:jc w:val="right"/>
      <w:rPr>
        <w:lang w:val="en-GB"/>
      </w:rPr>
    </w:pPr>
    <w:r>
      <w:rPr>
        <w:lang w:val="en-GB"/>
      </w:rPr>
      <w:t>Created 1</w:t>
    </w:r>
    <w:r w:rsidRPr="00E93FCB">
      <w:rPr>
        <w:vertAlign w:val="superscript"/>
        <w:lang w:val="en-GB"/>
      </w:rPr>
      <w:t>st</w:t>
    </w:r>
    <w:r>
      <w:rPr>
        <w:lang w:val="en-GB"/>
      </w:rPr>
      <w:t xml:space="preserve">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1F4DB4"/>
    <w:multiLevelType w:val="hybridMultilevel"/>
    <w:tmpl w:val="8E10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52D02"/>
    <w:multiLevelType w:val="hybridMultilevel"/>
    <w:tmpl w:val="B554E2FA"/>
    <w:lvl w:ilvl="0" w:tplc="08090001">
      <w:start w:val="1"/>
      <w:numFmt w:val="bullet"/>
      <w:lvlText w:val=""/>
      <w:lvlJc w:val="left"/>
      <w:pPr>
        <w:ind w:left="720" w:hanging="360"/>
      </w:pPr>
      <w:rPr>
        <w:rFonts w:ascii="Symbol" w:hAnsi="Symbol" w:hint="default"/>
      </w:rPr>
    </w:lvl>
    <w:lvl w:ilvl="1" w:tplc="460819D6">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A45C8"/>
    <w:multiLevelType w:val="hybridMultilevel"/>
    <w:tmpl w:val="82BAB370"/>
    <w:lvl w:ilvl="0" w:tplc="08090001">
      <w:start w:val="1"/>
      <w:numFmt w:val="bullet"/>
      <w:lvlText w:val=""/>
      <w:lvlJc w:val="left"/>
      <w:pPr>
        <w:ind w:left="360" w:hanging="360"/>
      </w:pPr>
      <w:rPr>
        <w:rFonts w:ascii="Symbol" w:hAnsi="Symbol" w:hint="default"/>
      </w:rPr>
    </w:lvl>
    <w:lvl w:ilvl="1" w:tplc="FFFFFFFF">
      <w:numFmt w:val="bullet"/>
      <w:lvlText w:val="-"/>
      <w:lvlJc w:val="left"/>
      <w:pPr>
        <w:ind w:left="360" w:hanging="360"/>
      </w:pPr>
      <w:rPr>
        <w:rFonts w:ascii="Calibri" w:eastAsiaTheme="minorEastAsia" w:hAnsi="Calibri" w:cs="Calibri"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2ABE64F8"/>
    <w:multiLevelType w:val="hybridMultilevel"/>
    <w:tmpl w:val="8D72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81FBE"/>
    <w:multiLevelType w:val="hybridMultilevel"/>
    <w:tmpl w:val="FB2EB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66607"/>
    <w:multiLevelType w:val="hybridMultilevel"/>
    <w:tmpl w:val="FB10531A"/>
    <w:lvl w:ilvl="0" w:tplc="ADBC96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2466B"/>
    <w:multiLevelType w:val="hybridMultilevel"/>
    <w:tmpl w:val="253CEAB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16F6F"/>
    <w:multiLevelType w:val="hybridMultilevel"/>
    <w:tmpl w:val="A0403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02B64"/>
    <w:multiLevelType w:val="hybridMultilevel"/>
    <w:tmpl w:val="A7D65FEE"/>
    <w:lvl w:ilvl="0" w:tplc="9DF8D4DE">
      <w:start w:val="1"/>
      <w:numFmt w:val="bullet"/>
      <w:lvlText w:val="ü"/>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142C6"/>
    <w:multiLevelType w:val="hybridMultilevel"/>
    <w:tmpl w:val="A3928FA0"/>
    <w:lvl w:ilvl="0" w:tplc="08090001">
      <w:start w:val="1"/>
      <w:numFmt w:val="bullet"/>
      <w:lvlText w:val=""/>
      <w:lvlJc w:val="left"/>
      <w:pPr>
        <w:ind w:left="720" w:hanging="360"/>
      </w:pPr>
      <w:rPr>
        <w:rFonts w:ascii="Symbol" w:hAnsi="Symbol" w:hint="default"/>
      </w:rPr>
    </w:lvl>
    <w:lvl w:ilvl="1" w:tplc="8A380968">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296956">
    <w:abstractNumId w:val="8"/>
  </w:num>
  <w:num w:numId="2" w16cid:durableId="557714030">
    <w:abstractNumId w:val="6"/>
  </w:num>
  <w:num w:numId="3" w16cid:durableId="55125096">
    <w:abstractNumId w:val="5"/>
  </w:num>
  <w:num w:numId="4" w16cid:durableId="1253465052">
    <w:abstractNumId w:val="4"/>
  </w:num>
  <w:num w:numId="5" w16cid:durableId="1317417358">
    <w:abstractNumId w:val="7"/>
  </w:num>
  <w:num w:numId="6" w16cid:durableId="1826630217">
    <w:abstractNumId w:val="3"/>
  </w:num>
  <w:num w:numId="7" w16cid:durableId="1760758140">
    <w:abstractNumId w:val="2"/>
  </w:num>
  <w:num w:numId="8" w16cid:durableId="1483931794">
    <w:abstractNumId w:val="1"/>
  </w:num>
  <w:num w:numId="9" w16cid:durableId="400909787">
    <w:abstractNumId w:val="0"/>
  </w:num>
  <w:num w:numId="10" w16cid:durableId="1081486252">
    <w:abstractNumId w:val="12"/>
  </w:num>
  <w:num w:numId="11" w16cid:durableId="1421752275">
    <w:abstractNumId w:val="14"/>
  </w:num>
  <w:num w:numId="12" w16cid:durableId="1736472372">
    <w:abstractNumId w:val="18"/>
  </w:num>
  <w:num w:numId="13" w16cid:durableId="1583297045">
    <w:abstractNumId w:val="9"/>
  </w:num>
  <w:num w:numId="14" w16cid:durableId="1884973654">
    <w:abstractNumId w:val="10"/>
  </w:num>
  <w:num w:numId="15" w16cid:durableId="1184981540">
    <w:abstractNumId w:val="11"/>
  </w:num>
  <w:num w:numId="16" w16cid:durableId="935409424">
    <w:abstractNumId w:val="15"/>
  </w:num>
  <w:num w:numId="17" w16cid:durableId="1567718660">
    <w:abstractNumId w:val="16"/>
  </w:num>
  <w:num w:numId="18" w16cid:durableId="1589652430">
    <w:abstractNumId w:val="13"/>
  </w:num>
  <w:num w:numId="19" w16cid:durableId="1782918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4A1E"/>
    <w:rsid w:val="00644760"/>
    <w:rsid w:val="0090505A"/>
    <w:rsid w:val="00AA1D8D"/>
    <w:rsid w:val="00B24D55"/>
    <w:rsid w:val="00B47730"/>
    <w:rsid w:val="00CB0664"/>
    <w:rsid w:val="00D50BF3"/>
    <w:rsid w:val="00E93FCB"/>
    <w:rsid w:val="00F945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CA3DE"/>
  <w14:defaultImageDpi w14:val="300"/>
  <w15:docId w15:val="{40FC2852-F1B9-DF41-A9C3-23E391E0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B"/>
    <w:rPr>
      <w:sz w:val="20"/>
      <w:szCs w:val="20"/>
    </w:rPr>
  </w:style>
  <w:style w:type="paragraph" w:styleId="Heading1">
    <w:name w:val="heading 1"/>
    <w:basedOn w:val="Normal"/>
    <w:next w:val="Normal"/>
    <w:link w:val="Heading1Char"/>
    <w:uiPriority w:val="9"/>
    <w:qFormat/>
    <w:rsid w:val="00E93FC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93FC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93FCB"/>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93FCB"/>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93FCB"/>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93FCB"/>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93FCB"/>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93FC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3FC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E93FCB"/>
    <w:pPr>
      <w:spacing w:before="0" w:after="0" w:line="240" w:lineRule="auto"/>
    </w:pPr>
  </w:style>
  <w:style w:type="character" w:customStyle="1" w:styleId="Heading1Char">
    <w:name w:val="Heading 1 Char"/>
    <w:basedOn w:val="DefaultParagraphFont"/>
    <w:link w:val="Heading1"/>
    <w:uiPriority w:val="9"/>
    <w:rsid w:val="00E93FCB"/>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E93FCB"/>
    <w:rPr>
      <w:caps/>
      <w:spacing w:val="15"/>
      <w:shd w:val="clear" w:color="auto" w:fill="C1E4F5" w:themeFill="accent1" w:themeFillTint="33"/>
    </w:rPr>
  </w:style>
  <w:style w:type="character" w:customStyle="1" w:styleId="Heading3Char">
    <w:name w:val="Heading 3 Char"/>
    <w:basedOn w:val="DefaultParagraphFont"/>
    <w:link w:val="Heading3"/>
    <w:uiPriority w:val="9"/>
    <w:rsid w:val="00E93FCB"/>
    <w:rPr>
      <w:caps/>
      <w:color w:val="0A2F40" w:themeColor="accent1" w:themeShade="7F"/>
      <w:spacing w:val="15"/>
    </w:rPr>
  </w:style>
  <w:style w:type="paragraph" w:styleId="Title">
    <w:name w:val="Title"/>
    <w:basedOn w:val="Normal"/>
    <w:next w:val="Normal"/>
    <w:link w:val="TitleChar"/>
    <w:uiPriority w:val="10"/>
    <w:qFormat/>
    <w:rsid w:val="00E93FCB"/>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93FCB"/>
    <w:rPr>
      <w:caps/>
      <w:color w:val="156082" w:themeColor="accent1"/>
      <w:spacing w:val="10"/>
      <w:kern w:val="28"/>
      <w:sz w:val="52"/>
      <w:szCs w:val="52"/>
    </w:rPr>
  </w:style>
  <w:style w:type="paragraph" w:styleId="Subtitle">
    <w:name w:val="Subtitle"/>
    <w:basedOn w:val="Normal"/>
    <w:next w:val="Normal"/>
    <w:link w:val="SubtitleChar"/>
    <w:uiPriority w:val="11"/>
    <w:qFormat/>
    <w:rsid w:val="00E93FC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93FCB"/>
    <w:rPr>
      <w:caps/>
      <w:color w:val="595959" w:themeColor="text1" w:themeTint="A6"/>
      <w:spacing w:val="10"/>
      <w:sz w:val="24"/>
      <w:szCs w:val="24"/>
    </w:rPr>
  </w:style>
  <w:style w:type="paragraph" w:styleId="ListParagraph">
    <w:name w:val="List Paragraph"/>
    <w:basedOn w:val="Normal"/>
    <w:uiPriority w:val="34"/>
    <w:qFormat/>
    <w:rsid w:val="00E93FCB"/>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93FCB"/>
    <w:rPr>
      <w:i/>
      <w:iCs/>
    </w:rPr>
  </w:style>
  <w:style w:type="character" w:customStyle="1" w:styleId="QuoteChar">
    <w:name w:val="Quote Char"/>
    <w:basedOn w:val="DefaultParagraphFont"/>
    <w:link w:val="Quote"/>
    <w:uiPriority w:val="29"/>
    <w:rsid w:val="00E93FCB"/>
    <w:rPr>
      <w:i/>
      <w:iCs/>
      <w:sz w:val="20"/>
      <w:szCs w:val="20"/>
    </w:rPr>
  </w:style>
  <w:style w:type="character" w:customStyle="1" w:styleId="Heading4Char">
    <w:name w:val="Heading 4 Char"/>
    <w:basedOn w:val="DefaultParagraphFont"/>
    <w:link w:val="Heading4"/>
    <w:uiPriority w:val="9"/>
    <w:semiHidden/>
    <w:rsid w:val="00E93FCB"/>
    <w:rPr>
      <w:caps/>
      <w:color w:val="0F4761" w:themeColor="accent1" w:themeShade="BF"/>
      <w:spacing w:val="10"/>
    </w:rPr>
  </w:style>
  <w:style w:type="character" w:customStyle="1" w:styleId="Heading5Char">
    <w:name w:val="Heading 5 Char"/>
    <w:basedOn w:val="DefaultParagraphFont"/>
    <w:link w:val="Heading5"/>
    <w:uiPriority w:val="9"/>
    <w:semiHidden/>
    <w:rsid w:val="00E93FCB"/>
    <w:rPr>
      <w:caps/>
      <w:color w:val="0F4761" w:themeColor="accent1" w:themeShade="BF"/>
      <w:spacing w:val="10"/>
    </w:rPr>
  </w:style>
  <w:style w:type="character" w:customStyle="1" w:styleId="Heading6Char">
    <w:name w:val="Heading 6 Char"/>
    <w:basedOn w:val="DefaultParagraphFont"/>
    <w:link w:val="Heading6"/>
    <w:uiPriority w:val="9"/>
    <w:semiHidden/>
    <w:rsid w:val="00E93FCB"/>
    <w:rPr>
      <w:caps/>
      <w:color w:val="0F4761" w:themeColor="accent1" w:themeShade="BF"/>
      <w:spacing w:val="10"/>
    </w:rPr>
  </w:style>
  <w:style w:type="character" w:customStyle="1" w:styleId="Heading7Char">
    <w:name w:val="Heading 7 Char"/>
    <w:basedOn w:val="DefaultParagraphFont"/>
    <w:link w:val="Heading7"/>
    <w:uiPriority w:val="9"/>
    <w:semiHidden/>
    <w:rsid w:val="00E93FCB"/>
    <w:rPr>
      <w:caps/>
      <w:color w:val="0F4761" w:themeColor="accent1" w:themeShade="BF"/>
      <w:spacing w:val="10"/>
    </w:rPr>
  </w:style>
  <w:style w:type="character" w:customStyle="1" w:styleId="Heading8Char">
    <w:name w:val="Heading 8 Char"/>
    <w:basedOn w:val="DefaultParagraphFont"/>
    <w:link w:val="Heading8"/>
    <w:uiPriority w:val="9"/>
    <w:semiHidden/>
    <w:rsid w:val="00E93FCB"/>
    <w:rPr>
      <w:caps/>
      <w:spacing w:val="10"/>
      <w:sz w:val="18"/>
      <w:szCs w:val="18"/>
    </w:rPr>
  </w:style>
  <w:style w:type="character" w:customStyle="1" w:styleId="Heading9Char">
    <w:name w:val="Heading 9 Char"/>
    <w:basedOn w:val="DefaultParagraphFont"/>
    <w:link w:val="Heading9"/>
    <w:uiPriority w:val="9"/>
    <w:semiHidden/>
    <w:rsid w:val="00E93FCB"/>
    <w:rPr>
      <w:i/>
      <w:caps/>
      <w:spacing w:val="10"/>
      <w:sz w:val="18"/>
      <w:szCs w:val="18"/>
    </w:rPr>
  </w:style>
  <w:style w:type="paragraph" w:styleId="Caption">
    <w:name w:val="caption"/>
    <w:basedOn w:val="Normal"/>
    <w:next w:val="Normal"/>
    <w:uiPriority w:val="35"/>
    <w:semiHidden/>
    <w:unhideWhenUsed/>
    <w:qFormat/>
    <w:rsid w:val="00E93FCB"/>
    <w:rPr>
      <w:b/>
      <w:bCs/>
      <w:color w:val="0F4761" w:themeColor="accent1" w:themeShade="BF"/>
      <w:sz w:val="16"/>
      <w:szCs w:val="16"/>
    </w:rPr>
  </w:style>
  <w:style w:type="character" w:styleId="Strong">
    <w:name w:val="Strong"/>
    <w:uiPriority w:val="22"/>
    <w:qFormat/>
    <w:rsid w:val="00E93FCB"/>
    <w:rPr>
      <w:b/>
      <w:bCs/>
    </w:rPr>
  </w:style>
  <w:style w:type="character" w:styleId="Emphasis">
    <w:name w:val="Emphasis"/>
    <w:uiPriority w:val="20"/>
    <w:qFormat/>
    <w:rsid w:val="00E93FCB"/>
    <w:rPr>
      <w:caps/>
      <w:color w:val="0A2F40" w:themeColor="accent1" w:themeShade="7F"/>
      <w:spacing w:val="5"/>
    </w:rPr>
  </w:style>
  <w:style w:type="paragraph" w:styleId="IntenseQuote">
    <w:name w:val="Intense Quote"/>
    <w:basedOn w:val="Normal"/>
    <w:next w:val="Normal"/>
    <w:link w:val="IntenseQuoteChar"/>
    <w:uiPriority w:val="30"/>
    <w:qFormat/>
    <w:rsid w:val="00E93FCB"/>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93FCB"/>
    <w:rPr>
      <w:i/>
      <w:iCs/>
      <w:color w:val="156082" w:themeColor="accent1"/>
      <w:sz w:val="20"/>
      <w:szCs w:val="20"/>
    </w:rPr>
  </w:style>
  <w:style w:type="character" w:styleId="SubtleEmphasis">
    <w:name w:val="Subtle Emphasis"/>
    <w:uiPriority w:val="19"/>
    <w:qFormat/>
    <w:rsid w:val="00E93FCB"/>
    <w:rPr>
      <w:i/>
      <w:iCs/>
      <w:color w:val="0A2F40" w:themeColor="accent1" w:themeShade="7F"/>
    </w:rPr>
  </w:style>
  <w:style w:type="character" w:styleId="IntenseEmphasis">
    <w:name w:val="Intense Emphasis"/>
    <w:uiPriority w:val="21"/>
    <w:qFormat/>
    <w:rsid w:val="00E93FCB"/>
    <w:rPr>
      <w:b/>
      <w:bCs/>
      <w:caps/>
      <w:color w:val="0A2F40" w:themeColor="accent1" w:themeShade="7F"/>
      <w:spacing w:val="10"/>
    </w:rPr>
  </w:style>
  <w:style w:type="character" w:styleId="SubtleReference">
    <w:name w:val="Subtle Reference"/>
    <w:uiPriority w:val="31"/>
    <w:qFormat/>
    <w:rsid w:val="00E93FCB"/>
    <w:rPr>
      <w:b/>
      <w:bCs/>
      <w:color w:val="156082" w:themeColor="accent1"/>
    </w:rPr>
  </w:style>
  <w:style w:type="character" w:styleId="IntenseReference">
    <w:name w:val="Intense Reference"/>
    <w:uiPriority w:val="32"/>
    <w:qFormat/>
    <w:rsid w:val="00E93FCB"/>
    <w:rPr>
      <w:b/>
      <w:bCs/>
      <w:i/>
      <w:iCs/>
      <w:caps/>
      <w:color w:val="156082" w:themeColor="accent1"/>
    </w:rPr>
  </w:style>
  <w:style w:type="character" w:styleId="BookTitle">
    <w:name w:val="Book Title"/>
    <w:uiPriority w:val="33"/>
    <w:qFormat/>
    <w:rsid w:val="00E93FCB"/>
    <w:rPr>
      <w:b/>
      <w:bCs/>
      <w:i/>
      <w:iCs/>
      <w:spacing w:val="9"/>
    </w:rPr>
  </w:style>
  <w:style w:type="paragraph" w:styleId="TOCHeading">
    <w:name w:val="TOC Heading"/>
    <w:basedOn w:val="Heading1"/>
    <w:next w:val="Normal"/>
    <w:uiPriority w:val="39"/>
    <w:semiHidden/>
    <w:unhideWhenUsed/>
    <w:qFormat/>
    <w:rsid w:val="00E93FCB"/>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PersonalName">
    <w:name w:val="Personal Name"/>
    <w:basedOn w:val="Title"/>
    <w:rsid w:val="00E93FCB"/>
    <w:rPr>
      <w:b/>
      <w:caps w:val="0"/>
      <w:color w:val="000000"/>
      <w:sz w:val="28"/>
      <w:szCs w:val="28"/>
    </w:rPr>
  </w:style>
  <w:style w:type="character" w:customStyle="1" w:styleId="NoSpacingChar">
    <w:name w:val="No Spacing Char"/>
    <w:basedOn w:val="DefaultParagraphFont"/>
    <w:link w:val="NoSpacing"/>
    <w:uiPriority w:val="1"/>
    <w:rsid w:val="00E93FCB"/>
    <w:rPr>
      <w:sz w:val="20"/>
      <w:szCs w:val="20"/>
    </w:rPr>
  </w:style>
  <w:style w:type="character" w:styleId="PageNumber">
    <w:name w:val="page number"/>
    <w:basedOn w:val="DefaultParagraphFont"/>
    <w:uiPriority w:val="99"/>
    <w:semiHidden/>
    <w:unhideWhenUsed/>
    <w:rsid w:val="00E93FCB"/>
  </w:style>
  <w:style w:type="character" w:styleId="Hyperlink">
    <w:name w:val="Hyperlink"/>
    <w:basedOn w:val="DefaultParagraphFont"/>
    <w:uiPriority w:val="99"/>
    <w:unhideWhenUsed/>
    <w:rsid w:val="00E93FCB"/>
    <w:rPr>
      <w:color w:val="467886" w:themeColor="hyperlink"/>
      <w:u w:val="single"/>
    </w:rPr>
  </w:style>
  <w:style w:type="character" w:styleId="UnresolvedMention">
    <w:name w:val="Unresolved Mention"/>
    <w:basedOn w:val="DefaultParagraphFont"/>
    <w:uiPriority w:val="99"/>
    <w:semiHidden/>
    <w:unhideWhenUsed/>
    <w:rsid w:val="00E93FCB"/>
    <w:rPr>
      <w:color w:val="605E5C"/>
      <w:shd w:val="clear" w:color="auto" w:fill="E1DFDD"/>
    </w:rPr>
  </w:style>
  <w:style w:type="character" w:styleId="FollowedHyperlink">
    <w:name w:val="FollowedHyperlink"/>
    <w:basedOn w:val="DefaultParagraphFont"/>
    <w:uiPriority w:val="99"/>
    <w:semiHidden/>
    <w:unhideWhenUsed/>
    <w:rsid w:val="00E93F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the-uks-modern-industrial-strategy-202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uk-critical-minerals-strateg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cy.npt.gov.uk/documents/s77664/REDP%20Appendix%20A%20Regional%20Economic%20Delivery%20Plan%20Final.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262798D36C44FA663838C95791C6E" ma:contentTypeVersion="10" ma:contentTypeDescription="Create a new document." ma:contentTypeScope="" ma:versionID="a40a469b9659f3aee4bc114cc34b577e">
  <xsd:schema xmlns:xsd="http://www.w3.org/2001/XMLSchema" xmlns:xs="http://www.w3.org/2001/XMLSchema" xmlns:p="http://schemas.microsoft.com/office/2006/metadata/properties" xmlns:ns2="b5d6abda-b450-498c-a438-bbbff5fbc445" xmlns:ns3="d02a0dee-ad24-4806-a448-06f0f0df5108" targetNamespace="http://schemas.microsoft.com/office/2006/metadata/properties" ma:root="true" ma:fieldsID="a92a43da8bfef0dae5607d6d846aedbd" ns2:_="" ns3:_="">
    <xsd:import namespace="b5d6abda-b450-498c-a438-bbbff5fbc445"/>
    <xsd:import namespace="d02a0dee-ad24-4806-a448-06f0f0df5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6abda-b450-498c-a438-bbbff5fb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04550-cf02-40b8-abdc-54ff520a9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a0dee-ad24-4806-a448-06f0f0df51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bfc463-722d-4d03-ac33-ad9ab99aba7b}" ma:internalName="TaxCatchAll" ma:showField="CatchAllData" ma:web="d02a0dee-ad24-4806-a448-06f0f0df5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6abda-b450-498c-a438-bbbff5fbc445">
      <Terms xmlns="http://schemas.microsoft.com/office/infopath/2007/PartnerControls"/>
    </lcf76f155ced4ddcb4097134ff3c332f>
    <TaxCatchAll xmlns="d02a0dee-ad24-4806-a448-06f0f0df51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9587B-AE9D-416C-B6DA-0CD56C51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6abda-b450-498c-a438-bbbff5fbc445"/>
    <ds:schemaRef ds:uri="d02a0dee-ad24-4806-a448-06f0f0df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F7DCCE1-4DA2-4360-87A9-540F0BF6BC60}">
  <ds:schemaRefs>
    <ds:schemaRef ds:uri="http://schemas.microsoft.com/office/2006/metadata/properties"/>
    <ds:schemaRef ds:uri="http://schemas.microsoft.com/office/infopath/2007/PartnerControls"/>
    <ds:schemaRef ds:uri="b5d6abda-b450-498c-a438-bbbff5fbc445"/>
    <ds:schemaRef ds:uri="d02a0dee-ad24-4806-a448-06f0f0df5108"/>
  </ds:schemaRefs>
</ds:datastoreItem>
</file>

<file path=customXml/itemProps4.xml><?xml version="1.0" encoding="utf-8"?>
<ds:datastoreItem xmlns:ds="http://schemas.openxmlformats.org/officeDocument/2006/customXml" ds:itemID="{3AE61488-81D9-4E9E-BA11-1D4054420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McMillan</cp:lastModifiedBy>
  <cp:revision>2</cp:revision>
  <dcterms:created xsi:type="dcterms:W3CDTF">2025-12-17T15:31:00Z</dcterms:created>
  <dcterms:modified xsi:type="dcterms:W3CDTF">2025-12-17T15:31:00Z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0x0101005D6262798D36C44FA663838C95791C6E</vt:lpwstr>
  </property>
</Properties>
</file>